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软雅黑" w:hAnsi="微软雅黑" w:eastAsia="微软雅黑"/>
          <w:b/>
          <w:color w:val="1C5FB0"/>
          <w:sz w:val="52"/>
        </w:rPr>
        <w:t>建筑业工程变更与签证协同</w:t>
      </w:r>
    </w:p>
    <w:p>
      <w:pPr>
        <w:jc w:val="center"/>
      </w:pPr>
      <w:r>
        <w:rPr>
          <w:rFonts w:ascii="微软雅黑" w:hAnsi="微软雅黑" w:eastAsia="微软雅黑"/>
          <w:b/>
          <w:color w:val="1C5FB0"/>
          <w:sz w:val="36"/>
        </w:rPr>
        <w:t>行业分析报告</w:t>
      </w:r>
    </w:p>
    <w:p>
      <w:pPr>
        <w:spacing w:after="360"/>
      </w:pPr>
      <w:r>
        <w:rPr>
          <w:rFonts w:ascii="微软雅黑" w:hAnsi="微软雅黑" w:eastAsia="微软雅黑"/>
          <w:b w:val="0"/>
          <w:sz w:val="21"/>
        </w:rPr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24"/>
        </w:rPr>
        <w:t>远筑工程 · 工程变更与签证协同 AI 试点项目</w:t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20"/>
        </w:rPr>
        <w:t>配套交付物之一 · 用于业务挖掘阶段的行业基准对齐</w:t>
      </w:r>
    </w:p>
    <w:p>
      <w:pPr>
        <w:spacing w:after="800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报告用途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为「工程变更与签证协同」AI 试点提供外部基准与政策约束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分析范围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建筑业数字化、工程造价计价规则、变更与签证管理现状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数据截止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2026 年 10 月（公开检索所得最新数据）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重要说明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不同机构统计口径不一致处已并列标注，未做单一取值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一、结论摘要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本报告服务于远筑工程「工程变更与签证协同」的 AI 试点立项。核心判断有三条：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行业侧：建筑业总量进入存量阶段，2025 年总产值 30.38 万亿元、同比 -5.43%，首次出现年度负增长；降本增效从「可选项」变成「生存题」。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政策侧：GB/T 50500-2024《建设工程工程量清单计价标准》自 2025 年 9 月 1 日实施，删除原「工程签证」条款、新增工程变更计量规则，并推行施工过程结算。这意味着任何按旧口径建设的系统都面临规则失效风险。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能力侧：行业 AI 渗透率在设计与安全环节已突破 35%，但真正「数据驱动决策」的项目不足 4.2%。缺口不在模型，而在图纸版本、主编号、事件时间这些基础口径的统一与依据可追溯。</w:t>
      </w:r>
    </w:p>
    <w:p>
      <w:pPr>
        <w:spacing w:after="200"/>
      </w:pPr>
      <w:r>
        <w:rPr>
          <w:rFonts w:ascii="微软雅黑" w:hAnsi="微软雅黑" w:eastAsia="微软雅黑"/>
          <w:b w:val="0"/>
          <w:sz w:val="21"/>
        </w:rPr>
        <w:t>由此，本项目不建议直接上「自动审批 / 自动计价」，而应先做版本核对与缺依据提示（只读、可回退），把口径与留痕地基打好，再谈阻断与集成。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二、行业规模与数字化水平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建筑业是国民经济的支柱产业，但数字化水平长期落后于制造业。下表汇总公开数据，同一指标存在多套口径，已在备注中说明。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来源 / 口径说明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建筑业总产值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30.38 万亿元（2025）</w:t>
              <w:br/>
              <w:t>同比 -5.43%，首次年度负增长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中国建筑业协会。另有机构按 2026 年突破 31 万亿、+5.2% 口径统计，方向相反，需以官方年鉴为准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建筑业信息化率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0.1%（欧美约 1%）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中国建筑业协会 2018 年数据，口径较旧但行业引用广泛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行业数字化渗透率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13.1%（较制造业低 17.8pct）</w:t>
              <w:br/>
              <w:t>另有 6.5% 口径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前者为 2026 年行业数据；后者为「建筑业整体渗透率」口径，与电力 35%、航天 42% 对比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建筑信息化市场规模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303 亿元 → 1076 亿元</w:t>
              <w:br/>
              <w:t>（2020→2025，CAGR 约 24%）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新点软件招股书引用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BIM 市场规模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194 亿元（2025）</w:t>
              <w:br/>
              <w:t>216.8 亿元（全链条口径）</w:t>
              <w:br/>
              <w:t>480 亿元（2026 预测）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招商证券 / 共研产业研究院 / 市场研究机构。全链条口径含造价咨询等服务，差异主要来自统计边界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BIM 应用率 vs 普及率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应用率 74.1%</w:t>
              <w:br/>
              <w:t>常态化普及率约 22%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应用率＝至少用过一次的项目占比；普及率＝适宜项目中常态化使用比例。房建大型项目使用率超 90%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智能建造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24 个试点城市（2022-2025）</w:t>
              <w:br/>
              <w:t>2026 年为全面推广元年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住建部联合 13 部门；已发布 4 批可复制经验做法清单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渗透率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设计审查 / 施工安全环节突破 35%</w:t>
              <w:br/>
              <w:t>施工管理大模型 29%</w:t>
              <w:br/>
              <w:t>数据驱动决策项目不足 4.2%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住建部、中国建筑业协会 2026 年数据。最后一项是关键缺口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微软雅黑" w:hAnsi="微软雅黑" w:eastAsia="微软雅黑"/>
          <w:b w:val="0"/>
          <w:color w:val="606060"/>
          <w:sz w:val="17"/>
        </w:rPr>
        <w:t>数据来源：招商证券、赛迪顾问、中国建筑业协会、住建部，经公开检索汇总。不同机构口径差异较大，对外引用前建议回溯原始报告核对。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三点解读：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总量收缩 + 利润率长期 2%~4%，决定客户不会为「锦上添花」的功能付费，只认能够直接指向返工损失与结算周期的改善。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信息化率 0.1% 与渗透率 13.1% 的巨大落差说明：行业买了很多软件，但数据没有真正流动起来。这正是「版本不一致、编号不统一」的根源。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BIM 应用率高而普及率低，意味着多数项目只是「用过」，变更发生时模型并未同步更新，反而制造了新的版本混乱。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三、政策与计价规则变化（最关键变量）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2024 年 12 月 30 日，住建部发布国家标准《建设工程工程量清单计价标准》GB/T 50500-2024，自 2025 年 9 月 1 日起实施，原 GB 50500-2013 同时废止。这不是一次技术性修订，而是计价逻辑的转向，对本项目有直接约束。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变化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对本项目的影响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性质由强制转推荐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由 GB 强制性标准转为 GB/T 推荐性标准，定价权交还市场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规则来源从「定额条文」变为「合同约定 + 市场数据」，系统必须能同时挂接合同版本与市场价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删除「工程签证」条款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新增工程变更计量规则，不再单列签证章节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术语与流程须整体重构：系统字段、审批单名称、统计口径不能沿用旧分类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计价依据市场化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最高投标限价不再以政府定额、信息价为主要依据，改用市场询价、造价数据库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计价依据需要标注来源与时间，AI 给建议时必须附依据引用，不能只给数字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风险分担原则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「谁的责任谁承担、谁的风控能力强谁承担」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责任归属要能追溯到岗和人，留痕字段必须包含签核人与时间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推行施工过程结算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按约定节点及时结算，发包人可随时掌握预计结算价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变更必须实时可计量，滞后补录的签证会直接造成结算偏差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多元解纷机制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建立争议评审、调解、仲裁或诉讼机制，倡导以争议评审为核心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争议材料需完整可复现，「依据完整率」成为可验收指标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微软雅黑" w:hAnsi="微软雅黑" w:eastAsia="微软雅黑"/>
          <w:b w:val="0"/>
          <w:color w:val="606060"/>
          <w:sz w:val="17"/>
        </w:rPr>
        <w:t>来源：住建部公告（2024-12-30）、无锡市住建局实施意见、陕西省住建厅转载《中国建设报》解读。江苏省自 2026 年 6 月 1 日起全省正式执行，其他地区以当地公告为准。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其他相关政策：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住建部联合 13 部门明确 2026 年为智能建造全面推广元年，24 个试点城市已完成 3 年试点。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19 个省市已出台 BIM 计费标准，BIM 应用在很大程度上仍依赖政策强制推动。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住建部、国家数据局推进房屋建筑统一代码制度，目标 2027 年底新建房屋全覆盖——与本项目「统一主编号」的诉求方向一致。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四、痛点与成本量化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变更与签证是打破合同造价边界、引发结算纠纷的核心诱因。公开资料给出的量化口径如下：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痛点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量化口径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变更签证推高造价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民用建筑项目变更签证引发造价增幅平均 8.3%</w:t>
              <w:br/>
              <w:t>中小民营项目违规签证导致超预算比例突破 15%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引自住建部 2025 年建筑结算数据统计（期刊转引），建议在正式立项材料中回溯原件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结算争议构成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工程量认定差异 45%</w:t>
              <w:br/>
              <w:t>材料价差调整 25%</w:t>
              <w:br/>
              <w:t>质量扣款 15%</w:t>
              <w:br/>
              <w:t>措施费计取 10%</w:t>
              <w:br/>
              <w:t>工期延误索赔 5%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行业实务统计。工程量认定（尤其是隐蔽工程与变更部位）是第一大争议源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设计变更占超支比重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某审计案例中设计修改与二次深化净增造价 622 万元，占超合同部分 42.1%</w:t>
              <w:br/>
              <w:t>签证合计 143 万元，占 9.7%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单一项目案例，用于说明结构占比，不代表行业均值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材料价格波动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建材价格季度波动幅度维持 6%~10%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滞后审批的变更签证无法匹配当期材料认价，进一步拉大造价缺口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签证管理混乱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盲目签证、重复签证造成诉讼中事实认定困难；签证不及时、要素不齐全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福建高院建设工程合同纠纷审判白皮书（2019-2021）、辽宁法院审判梳理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结合远筑工程访谈所得的一线事实，上述行业级痛点在本项目中的具体表现为：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版本与交底脱节：设计新图已上传但无人交底，现场仍按旧图施工。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授权链缺失：口头要求增加管线，事后签证被拒，无法确认授权链。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口径不统一：图纸编码不统一、签证发生日与确认日混用、现场 / 造价 / 业主三套计量口径并存。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关键说明不随单据交接：说明留在个人便签或微信群，事后难以重建处理链。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五、供给格局与竞品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国内建筑数字化供给已相对集中，但各家强项与本项目诉求并不完全重合。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供给方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主要能力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与本项目诉求的差距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广联达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造价算量、BIM 平台、数字施工；已推出「天工智算」AI 成本测算与决策助手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强在造价计算与建模，弱在跨角色协同链的「谁交底、谁签认」追溯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用友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项目管理、ERP、财务一体化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偏企业管理与财务口径，现场一线的即时性不足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鲁班软件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BIM 建模与协同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以模型为中心，变更发生时的模型同步依赖人工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头部厂商整体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国内头部（广联达、用友、鲁班等）合计约 58% 市场份额；国产造价类 BIM 软件市占率超 80%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市场集中度高，但变更—签证跨角色协同与依据溯源仍是普遍薄弱环节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企业自研案例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中国建筑推进 270 余项数字化场景；陕建物流「灵镜」大模型用于供应商管理与风险防控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大企业自研为主，中型施工企业缺少可负担的轻量方案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微软雅黑" w:hAnsi="微软雅黑" w:eastAsia="微软雅黑"/>
          <w:b w:val="0"/>
          <w:color w:val="606060"/>
          <w:sz w:val="17"/>
        </w:rPr>
        <w:t>来源：公开行业研究汇总。份额与市占率为研究机构估算，非官方统计。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六、对本项目的启示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把行业基准与远筑工程的现场事实对照，可以推出四条对项目设计有直接约束的结论：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术语必须先对齐再建系统。新清单已删除「签证」条款，若系统固化旧分类，上线即与现行规则冲突。建议字段设计同时保留合同口径与新版计量口径。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先做只读、可回退的能力。行业数据驱动决策项目不足 4.2%，说明一次性上自动审批的失败概率高；版本核对与缺依据提示属于低不可逆风险切入点。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依据引用是刚需而非加分项。计价依据市场化之后，「给数字」没有价值，「给数字 + 给依据来源与时间」才有价值。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留痕要能重建整条处理链。争议评审机制要求材料完整可复现，留痕字段至少覆盖业务编号、资料版本、事实引用、建议结果、人工改动与签核人。</w:t>
      </w:r>
    </w:p>
    <w:p>
      <w:pPr>
        <w:spacing w:after="200"/>
      </w:pPr>
      <w:r>
        <w:rPr>
          <w:rFonts w:ascii="微软雅黑" w:hAnsi="微软雅黑" w:eastAsia="微软雅黑"/>
          <w:b w:val="0"/>
          <w:sz w:val="21"/>
        </w:rPr>
        <w:t>上述四条与实验室发现报告中的 REQ-1（版本核对与交底缺失提示）、REQ-2（缺依据或授权链不清时阻断）、REQ-3（统一主编号与事件时间口径）、REQ-6（审计留痕覆盖建议、人工改动与签核人）相互印证，构成后续设计方案与报价的立项依据。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C5FB0"/>
          <w:sz w:val="32"/>
        </w:rPr>
        <w:t>七、数据来源与口径声明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住建部《建设工程工程量清单计价标准》公告（2024-12-30 发布，2025-09-01 实施）。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无锡市住建局《（GB/T 50500-2024）及 9 本工程量计算标准的实施意见》解读（2026-05）。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陕西省住建厅转载《中国建设报》：新清单促进工程造价市场化改革（2025-12）。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福建省高级人民法院《涉建设工程合同纠纷审判白皮书（2019-2021 年）》。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1"/>
        </w:rPr>
        <w:t>中国建筑业协会、赛迪顾问、招商证券、住建部相关统计（经公开检索汇总）。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06060"/>
          <w:sz w:val="19"/>
        </w:rPr>
        <w:t>口径声明：本报告中的市场规模、渗透率、产值与增速，来自不同机构的公开报告，统计边界与取样范围不一致，同一指标出现多个数值时已并列标注，未做加权或单一取值。对外正式引用前，请回溯原始报告核对。</w:t>
      </w:r>
    </w:p>
    <w:sectPr w:rsidR="00FC693F" w:rsidRPr="0006063C" w:rsidSect="00034616">
      <w:pgSz w:w="12240" w:h="15840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