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C5FB0"/>
          <w:sz w:val="48"/>
        </w:rPr>
        <w:t>工程变更与签证协同 AI 试点</w:t>
      </w:r>
    </w:p>
    <w:p>
      <w:pPr>
        <w:jc w:val="center"/>
      </w:pPr>
      <w:r>
        <w:rPr>
          <w:rFonts w:ascii="微软雅黑" w:hAnsi="微软雅黑" w:eastAsia="微软雅黑"/>
          <w:b/>
          <w:color w:val="1C5FB0"/>
          <w:sz w:val="40"/>
        </w:rPr>
        <w:t>设计方案</w:t>
      </w:r>
    </w:p>
    <w:p>
      <w:pPr>
        <w:spacing w:after="320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远筑工程 · 一个施工分区试点</w:t>
      </w:r>
    </w:p>
    <w:p>
      <w:pPr>
        <w:spacing w:after="72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方案版本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V1.0（待评审）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依据材料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01-业务需求发现报告（34/36 条事实）、02-行业分析报告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配套图纸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03-现状流程图、04-数智化转型后流程图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配套报价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06-报价单.xlsx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重要声明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本方案中的需求均为待验证假设，阈值与时限须经现场核实后方可生效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一、项目背景与目标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远筑工程在「工程变更与签证协同」上投入大量人力，最典型的一线失败是：设计新图已上传文档库，但没有人做交底，现场仍按旧图施工。管理层希望借助 AI 改善，但尚未确定优先环节、验收标准与权限边界。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访谈给出的业务目标与验收口径如下（均为管理层口头提出，尚无书面基线）：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 / 口径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现状基线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目标值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变更确认周期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平均 12 天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天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建筑-001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月度返工损失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 万元 / 月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减少 30%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建筑-001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版本错误提示召回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无（无提示机制）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建筑-003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签证依据完整率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无（口径未统一）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95%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建筑-003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试点范围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一个施工分区；先历史资料回放，再小范围并行试点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建筑-003 · 建筑-021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关键前提：各节点耗时目前「尚未分别计量」（建筑-002）。没有基线就无法判断 6 天目标是否可达，也无法定位瓶颈在澄清、审批还是交底。因此本方案把「基线计量」列为 P0 阶段的第一项工作，而不是上线后再补。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二、四条不可妥协的设计原则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原则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不代签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系统只做版本核对与变更追踪，不代签设计或合同文件，不自动批准变更、不签署工程量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建筑-021 · 建筑-012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依据可溯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每条建议必须能追溯到资料版本、条款或合同依据与时间；没有依据的建议不输出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建筑-033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人工兜底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结构安全与设计变更必须由合格人员审核，本场景不做专业计算；AI 建议不得作为质量安全判定依据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只读优先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首期只做只读查询与提醒，不做跨系统状态同步；状态同步留待口径与责任人确认后再议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建筑-021 · 建筑-010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三、总体架构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方案采用五层结构，智能体只出现在「读、比、提示、阻断」四类动作上，审批、签核、结算始终由人工完成。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关键约束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现场终端（草稿暂存 + 最后同步时间）、Web 工作台、消息提醒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高峰期离场补录不得丢数据（建筑-022）；不新增现场硬件依赖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智能体层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 版本核对、M2 依据与授权链预检、M3 计量口径归一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全部为只读动作；输出必附依据引用与版本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规则中枢层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变更计量规则、合同口径、定额与市场价版本化存储与选版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按生效日期与适用范围选版本；规则冲突时附两个版本交质量安全负责人，不自行合并（建筑-026）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溯源与留痕层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字段级来源标签 + 全链路留痕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保留业务编号、资料版本、事实引用、建议结果、人工改动与签核人（建筑-033）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集成适配层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BIM 文档库、项目管理平台、造价软件的只读适配器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三套系统账号权限独立、无统一视图（建筑-010）；首期只读，不做状态同步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四、功能模块与需求映射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对应需求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M0 基线计量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按六节点分别记录发起、等待、处理、退回时间，形成基线分布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 版本核对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自动比对图纸版本与交底状态，检出不一致时提示并推送交底提醒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M2 依据预检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提交前校验主编号、事件时间、版本字段，判定依据与授权链是否完整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 口径归一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现场完成量 / 签证有效量 / 审批版核价三套口径按规则映射，定位差异字段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 阻断与转办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缺依据、缺签、版本冲突或关键系统不可用时阻断提交并转人工，标注触发原因、接手人、确认时间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 只读集成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三系统只读字段接入，标注快照时效与故障降级规则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M6 留痕归档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全链路留痕与审计视图，支持仅凭留痕重建处理链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REQ-6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M7 人工修复队列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图纸编码不统一、发生日与确认日混用的歧义记录进队列，人工修复后再入自动链路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REQ-4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五、关键设计决策（含明确不做的事）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先只读，后写。 版本核对与缺依据提示属于可回退的低不可逆风险动作；一旦要求跨系统状态同步，主数据源与单号关联规则未定，方案无法承诺（REQ-5）。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阻断，而不是提示。 「只提示不锁定会被绕过，缺签变更仍会流入现场」，这是质量安全负责人的明确意见（建筑-032）。因此 M4 采用硬阻断。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不做自动审批与自动计价。 结构安全与设计变更必须由合格人员审核（建筑-013）；计价规则冲突时须附两个版本交质量安全负责人，不自行合并或选较宽松条款（建筑-026）。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规则必须版本化。 GB/T 50500-2024 已自 2025-09-01 实施并删除原「工程签证」条款，若系统固化旧分类，上线即与现行规则冲突。规则中枢需支持生效期、起草与审批分离、变更审计。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先建人工修复队列再谈自动推荐。 图纸编码不统一、发生日与确认日混用会污染自动推荐结果（REQ-4），歧义记录必须先经人工修复。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六、数据口径与字段规范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字段组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规范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待确认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主编号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变更单号由统一入口生成，跨 BIM 库 / 项目平台 / 造价软件保持一致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主数据源与单号关联规则由谁拍板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事件时间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严格区分发生日、确认日、录入日三个时间，禁止混用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统计周期与排除规则由谁定（建筑-034）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版本字段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图纸版本号 + 交底状态 + 生效时间三者同时记录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交底完成的判定标准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计量口径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现场按施工完成计量、造价按签证有效计量、业主按审批版核价，三套并存并保留映射关系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审批版优先是否已有书面约定（建筑-016 / 034）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来源标签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每个字段标注来源：系统字段 / 现场照片 / 人工确认 / 模型推断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模型推断字段的复核责任人与复核方式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七、权限矩阵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查看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提交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预检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阻断放行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专业签核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审批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归档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现场施工员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造价工程师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项目经理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质量安全负责人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工程平台工程师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业主项目代表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●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软雅黑" w:hAnsi="微软雅黑" w:eastAsia="微软雅黑"/>
          <w:b w:val="0"/>
          <w:color w:val="606060"/>
          <w:sz w:val="17"/>
        </w:rPr>
        <w:t>● 可执行　○ 可发起 / 需他人确认　— 不可执行。最终权限清单须由质量安全负责人签署（建筑-033 相关追问）。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八、验收指标与停止条件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判定方式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效果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版本错误提示召回 100%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历史资料回放，人工标注版本错误样本后比对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口径已定，阈值待现场确认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效果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签证依据完整率 95%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先固定分母（单据数 / 字段数）、排除规则与统计周期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口径未定，须先统一（REQ-3）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效率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变更确认周期 12 天 → 6 天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按六节点分别计量，不以总天数单点判断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基线缺失，须先补（建筑-002）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被阻断单据数与人工接手确认时长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分区试点统计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待试点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停止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误报率超阈值 / 连续多单误阻断 / 接口中断超时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触及即暂停并复盘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阈值待定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九、实施计划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周期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主要工作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 诊断与基线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周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六节点耗时基线计量；字段与主编号盘点；书面 Brief 与预算确认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基线报告、字段清单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 只读 MVP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周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M0 + M1 + M2 + M7；历史资料回放验证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只读版系统、回放验证报告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 阻断与集成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周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 + M5 + M3；跨系统只读接入与故障降级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阻断版系统、集成清单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P3 试点与验收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周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M6；单分区并行试点；验收与运营交接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验收报告、运维手册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十、风险与应对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基线数据缺失，6 天目标无法验证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验收无依据，试点结论不可信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 阶段先补基线；验收改按节点耗时下降判定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图纸编码与日期口径长期不统一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自动推荐被污染，反而增加返工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先建人工修复队列，歧义记录不进自动链路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跨系统接口能力不足或延迟过高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版本比对结果滞后，现场不信任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标注快照时效；接口中断时降级为人工核对，不静默给出结果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规则变更（新清单口径调整）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系统按旧口径运行，与现行规则冲突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规则中枢版本化，按生效日期选版，保留历史版本可追溯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建议被当作专业判定依据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质量安全合规风险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界面与输出强制标注「建议」；签核动作不可由系统代劳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十一、既有资产复用说明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本方案不是从零建设。下列四项内核已在「青禾报销助手」项目中实现并通过验证（内控护栏 12/12、端到端 21/21），可直接迁移到本场景，从而缩短 P1 周期、降低试错成本：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可复用内核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原场景作用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本场景对应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规则中枢（版本化 + 已发布不可变 + 起草与审批分离 + 变更审计）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报销制度版本管理与发布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变更计量规则、合同口径与定额版本管理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字段级溯源标签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区分票据字段来自 XML、OCR、模型推断还是人工确认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区分字段来自系统、现场照片、模型推断还是人工确认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硬阻断闸门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业务事实未经财务复核即拒绝进入付款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缺依据 / 缺签 / 版本冲突即拒绝提交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权限与身份隔离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越权查询返回「查无此单」，不泄露单据存在性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按角色约束查看、提交、签核、审批权限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606060"/>
          <w:sz w:val="19"/>
        </w:rPr>
        <w:t>复用部分的工程量已在报价单中按「内核迁移」单列，未重复计入新建工作量。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