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pBdr>
          <w:bottom w:val="single" w:color="123c78" w:sz="18" w:space="9"/>
        </w:pBdr>
        <w:spacing w:before="100" w:beforeAutospacing="1" w:after="100" w:afterAutospacing="1" w:line="432"/>
        <w:jc w:val="center"/>
        <w:outlineLvl w:val="0"/>
        <w:rPr>
          <w:color w:val="123c78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36"/>
        </w:rPr>
        <w:t>建筑行业工程变更与签证协同数智化行业分析</w:t>
      </w:r>
    </w:p>
    <w:p w14:paraId="00000002">
      <w:pPr>
        <w:spacing w:before="120" w:after="120" w:line="432"/>
        <w:ind w:left="0" w:right="0"/>
        <w:jc w:val="center"/>
        <w:rPr>
          <w:color w:val="666666"/>
        </w:rPr>
      </w:pPr>
      <w:r>
        <w:rPr>
          <w:rFonts w:hint="eastAsia" w:ascii="Microsoft YaHei" w:hAnsi="Microsoft YaHei" w:eastAsia="Microsoft YaHei" w:cs="Microsoft YaHei"/>
          <w:color w:val="666666"/>
          <w:sz w:val="17"/>
        </w:rPr>
        <w:t>分析对象：远筑工程 · 工程变更与签证协同｜分析性质：基于 FDE 实验室合成业务场景，供立项参考</w:t>
      </w:r>
    </w:p>
    <w:p w14:paraId="00000003">
      <w:pPr>
        <w:pStyle w:val="000003"/>
        <w:keepNext w:val="1"/>
        <w:keepLines w:val="1"/>
        <w:pBdr>
          <w:left w:val="single" w:color="123c78" w:sz="30" w:space="7"/>
        </w:pBdr>
        <w:spacing w:before="420" w:beforeAutospacing="1" w:after="100" w:afterAutospacing="1" w:line="432"/>
        <w:outlineLvl w:val="1"/>
        <w:rPr>
          <w:color w:val="123c78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26"/>
        </w:rPr>
        <w:t>1 行业背景</w:t>
      </w:r>
    </w:p>
    <w:p w14:paraId="00000004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建筑业是国民经济支柱产业，产业链长、参与方多、项目管理复杂度高。与制造业等行业相比，建筑业数字化水平长期处于各行业末位，工程项目现场仍大量依赖纸质单据、口头交底与人工台账，信息孤岛与版本失控问题普遍存在。</w:t>
      </w:r>
    </w:p>
    <w:p w14:paraId="00000005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政策层面持续推动行业转型：住房和城乡建设部自 2022 年起在全国开展智能建造试点，推动 BIM 技术、建筑产业互联网平台与数字化监管落地；各地陆续推广电子签章、电子档案与"智慧工地"监管要求，为施工企业数字化协同提供了外部牵引。</w:t>
      </w:r>
    </w:p>
    <w:p w14:paraId="00000006">
      <w:pPr>
        <w:pStyle w:val="000003"/>
        <w:keepNext w:val="1"/>
        <w:keepLines w:val="1"/>
        <w:pBdr>
          <w:left w:val="single" w:color="123c78" w:sz="30" w:space="7"/>
        </w:pBdr>
        <w:spacing w:before="420" w:beforeAutospacing="1" w:after="100" w:afterAutospacing="1" w:line="432"/>
        <w:outlineLvl w:val="1"/>
        <w:rPr>
          <w:color w:val="123c78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26"/>
        </w:rPr>
        <w:t>2 工程变更与签证环节的行业共性痛点</w:t>
      </w:r>
    </w:p>
    <w:p w14:paraId="00000007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工程变更与现场签证是施工项目利润流失的高发环节，行业共性痛点集中在四个方面。</w:t>
      </w:r>
    </w:p>
    <w:p w14:paraId="00000008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2a4d8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a4d8f"/>
          <w:sz w:val="22"/>
        </w:rPr>
        <w:t>2.1 版本失控：一张变更单的多个版本</w:t>
      </w:r>
    </w:p>
    <w:p w14:paraId="00000009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设计变更经由设计院、业主、总包、分包多个主体流转，图纸与变更指令常通过邮件、微信群、纸质签收等多渠道并行传递，缺乏唯一权威版本。施工现场"拿到旧图施工、新图无人交底"的情况屡见不鲜，直接导致返工与工期损失。</w:t>
      </w:r>
    </w:p>
    <w:p w14:paraId="0000000A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2a4d8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a4d8f"/>
          <w:sz w:val="22"/>
        </w:rPr>
        <w:t>2.2 交底缺失：信息到达不等于执行到位</w:t>
      </w:r>
    </w:p>
    <w:p w14:paraId="0000000B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变更文件上传平台或发出通知后，缺少按角色、按工序的定向交底与签收确认机制。管理层无法回答"谁在何时确认收到并理解了哪一版变更"，一旦出现质量问题，责任难以追溯。</w:t>
      </w:r>
    </w:p>
    <w:p w14:paraId="0000000C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2a4d8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a4d8f"/>
          <w:sz w:val="22"/>
        </w:rPr>
        <w:t>2.3 签证争议：口径不一与结算纠纷</w:t>
      </w:r>
    </w:p>
    <w:p w14:paraId="0000000D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现场签证单由施工、造价、业主等各方分别记录、分别填写，版本不一致成为常态。造价核定需人工反复对量核价，周期拖长；结算阶段因签证依据不足或口径冲突引发的争议，直接侵蚀项目利润。</w:t>
      </w:r>
    </w:p>
    <w:p w14:paraId="0000000E">
      <w:pPr>
        <w:pStyle w:val="000004"/>
        <w:keepNext w:val="1"/>
        <w:keepLines w:val="1"/>
        <w:spacing w:before="270" w:beforeAutospacing="1" w:after="100" w:afterAutospacing="1" w:line="432"/>
        <w:outlineLvl w:val="2"/>
        <w:rPr>
          <w:color w:val="2a4d8f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2a4d8f"/>
          <w:sz w:val="22"/>
        </w:rPr>
        <w:t>2.4 数据缺失：管理决策没有基线</w:t>
      </w:r>
    </w:p>
    <w:p w14:paraId="0000000F">
      <w:pPr>
        <w:spacing w:before="120" w:after="120" w:line="432"/>
        <w:ind w:left="0" w:right="0" w:firstLine="480"/>
        <w:rPr>
          <w:color w:val="222222"/>
        </w:rPr>
      </w:pPr>
      <w:r>
        <w:rPr>
          <w:rFonts w:hint="eastAsia" w:ascii="Microsoft YaHei" w:hAnsi="Microsoft YaHei" w:eastAsia="Microsoft YaHei" w:cs="Microsoft YaHei"/>
          <w:color w:val="222222"/>
          <w:sz w:val="18"/>
        </w:rPr>
        <w:t>处理时长、返工次数、版本正确率、签证采用率、人工复核成本等关键过程指标缺乏系统性采集，管理层既无法量化问题严重程度，也无法评估改进投入的回报。</w:t>
      </w:r>
    </w:p>
    <w:p w14:paraId="00000010">
      <w:pPr>
        <w:pStyle w:val="000003"/>
        <w:keepNext w:val="1"/>
        <w:keepLines w:val="1"/>
        <w:pBdr>
          <w:left w:val="single" w:color="123c78" w:sz="30" w:space="7"/>
        </w:pBdr>
        <w:spacing w:before="420" w:beforeAutospacing="1" w:after="100" w:afterAutospacing="1" w:line="432"/>
        <w:outlineLvl w:val="1"/>
        <w:rPr>
          <w:color w:val="123c78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26"/>
        </w:rPr>
        <w:t>3 数智化转型的主要技术方向</w:t>
      </w:r>
    </w:p>
    <w:tbl>
      <w:tblPr>
        <w:tblW w:w="8306" w:type="dxa"/>
        <w:shd w:color="22222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123c7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11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技术方向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123c7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12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在变更与签证场景中的应用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123c78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00013">
            <w:pPr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7"/>
              </w:rPr>
              <w:t>成熟度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4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云端文档协同与版本管理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5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变更图纸统一入库、唯一权威版本、全量留痕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6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高，行业已普及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7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BIM 与图纸比对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8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新旧图自动比对、变更影响范围可视化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9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中，逐项目深化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A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AI 文档理解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B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变更单要素提取、签证单自动起草、工程量关联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C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快速上升期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D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移动端协同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E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现场交底推送、签收确认、拍照留证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1F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高，与智慧工地融合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0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电子签章与电子档案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1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签证在线多方确认、合规归档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shd w:val="clear" w:fill="f2f6fc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2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高，政策已放开</w:t>
            </w:r>
          </w:p>
        </w:tc>
      </w:tr>
      <w:tr>
        <w:trPr/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3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数据看板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4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变更处理时长、返工率等指标实时可测</w:t>
            </w:r>
          </w:p>
        </w:tc>
        <w:tc>
          <w:tcPr>
            <w:tcW w:w="2768" w:type="dxa"/>
            <w:tcBorders>
              <w:top w:val="single" w:color="9db3d6" w:sz="6"/>
              <w:left w:val="single" w:color="9db3d6" w:sz="6"/>
              <w:bottom w:val="single" w:color="9db3d6" w:sz="6"/>
              <w:right w:val="single" w:color="9db3d6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0000025">
            <w:pPr>
              <w:rPr>
                <w:color w:val="222222"/>
              </w:rPr>
            </w:pPr>
            <w:r>
              <w:rPr>
                <w:rFonts w:hint="eastAsia" w:ascii="Microsoft YaHei" w:hAnsi="Microsoft YaHei" w:eastAsia="Microsoft YaHei" w:cs="Microsoft YaHei"/>
                <w:color w:val="222222"/>
                <w:sz w:val="17"/>
              </w:rPr>
              <w:t>中</w:t>
            </w:r>
          </w:p>
        </w:tc>
      </w:tr>
    </w:tbl>
    <w:p w14:paraId="00000026">
      <w:pPr>
        <w:pStyle w:val="000003"/>
        <w:keepNext w:val="1"/>
        <w:keepLines w:val="1"/>
        <w:pBdr>
          <w:left w:val="single" w:color="123c78" w:sz="30" w:space="7"/>
        </w:pBdr>
        <w:spacing w:before="420" w:beforeAutospacing="1" w:after="100" w:afterAutospacing="1" w:line="432"/>
        <w:outlineLvl w:val="1"/>
        <w:rPr>
          <w:color w:val="123c78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26"/>
        </w:rPr>
        <w:t>4 对远筑工程的启示</w:t>
      </w:r>
    </w:p>
    <w:p w14:paraId="00000027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优先解决版本与交底问题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：这是触发事件根因，技术上成熟、见效最快，应作为一期试点核心；</w:t>
      </w:r>
    </w:p>
    <w:p w14:paraId="00000028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签证协同第二步推进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：在版本统一的基础上，用 AI 辅助起草签证单并保留人工审批，解决"三个版本"问题；</w:t>
      </w:r>
    </w:p>
    <w:p w14:paraId="00000029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同步建立指标基线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：转型前先明确处理时长、返工次数等五项指标口径与采集方式，使改进效果可验证、可算账；</w:t>
      </w:r>
    </w:p>
    <w:p w14:paraId="0000002A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守住权限与人工确认边界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：涉及造价确认、质量安全审查的环节必须保留人工审批与审计留痕，AI 定位为辅助起草与核对，不做自动批准。</w:t>
      </w:r>
    </w:p>
    <w:p w14:paraId="0000002B">
      <w:pPr>
        <w:pStyle w:val="000003"/>
        <w:keepNext w:val="1"/>
        <w:keepLines w:val="1"/>
        <w:pBdr>
          <w:left w:val="single" w:color="123c78" w:sz="30" w:space="7"/>
        </w:pBdr>
        <w:spacing w:before="420" w:beforeAutospacing="1" w:after="100" w:afterAutospacing="1" w:line="432"/>
        <w:outlineLvl w:val="1"/>
        <w:rPr>
          <w:color w:val="123c78"/>
          <w:sz w:val="32"/>
          <w:szCs w:val="32"/>
        </w:rPr>
      </w:pPr>
      <w:r>
        <w:rPr>
          <w:rFonts w:hint="eastAsia" w:ascii="Microsoft YaHei" w:hAnsi="Microsoft YaHei" w:eastAsia="Microsoft YaHei" w:cs="Microsoft YaHei"/>
          <w:b w:val="1"/>
          <w:color w:val="123c78"/>
          <w:sz w:val="26"/>
        </w:rPr>
        <w:t>5 风险与约束</w:t>
      </w:r>
    </w:p>
    <w:p w14:paraId="0000002C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数据基础薄弱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：现状无系统日志，基线指标需人工回溯采集，前期存在数据缺口；</w:t>
      </w:r>
    </w:p>
    <w:p w14:paraId="0000002D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一线习惯阻力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：现场存在绕开系统的操作习惯，需通过移动端低门槛设计与考核机制牵引；</w:t>
      </w:r>
    </w:p>
    <w:p w14:paraId="0000002E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业主口径差异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：签证验收口径需与业主方提前对齐，避免平台与线下流程"两张皮"；</w:t>
      </w:r>
    </w:p>
    <w:p w14:paraId="0000002F">
      <w:pPr>
        <w:numPr>
          <w:ilvl w:val="0"/>
          <w:numId w:val="1"/>
        </w:numPr>
        <w:spacing w:before="60" w:after="60" w:line="432"/>
        <w:ind w:left="0" w:right="0"/>
        <w:rPr>
          <w:color w:val="222222"/>
        </w:rPr>
      </w:pPr>
      <w:r>
        <w:rPr>
          <w:rFonts w:hint="eastAsia" w:ascii="Microsoft YaHei" w:hAnsi="Microsoft YaHei" w:eastAsia="Microsoft YaHei" w:cs="Microsoft YaHei"/>
          <w:b w:val="1"/>
          <w:color w:val="222222"/>
          <w:sz w:val="18"/>
        </w:rPr>
        <w:t>合规要求</w:t>
      </w:r>
      <w:r>
        <w:rPr>
          <w:rFonts w:hint="eastAsia" w:ascii="Microsoft YaHei" w:hAnsi="Microsoft YaHei" w:eastAsia="Microsoft YaHei" w:cs="Microsoft YaHei"/>
          <w:color w:val="222222"/>
          <w:sz w:val="18"/>
        </w:rPr>
        <w:t>：电子签章与电子档案需满足当地住建监管要求，试点前需合规核查。</w:t>
      </w:r>
    </w:p>
    <w:p w14:paraId="00000030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ne number" w:semiHidden="1" w:unhideWhenUsed="1"/>
    <w:lsdException w:name="annotation text" w:semiHidden="1" w:unhideWhenUsed="1"/>
    <w:lsdException w:name="List Number 5" w:semiHidden="1" w:unhideWhenUsed="1"/>
    <w:lsdException w:name="Default Paragraph Font" w:uiPriority="1" w:semiHidden="1" w:unhideWhenUsed="1"/>
    <w:lsdException w:name="footnote reference" w:semiHidden="1" w:unhideWhenUsed="1"/>
    <w:lsdException w:name="index 8" w:semiHidden="1" w:unhideWhenUsed="1"/>
    <w:lsdException w:name="toc 7" w:uiPriority="39" w:semiHidden="1" w:unhideWhenUsed="1"/>
    <w:lsdException w:name="List Continue 5" w:semiHidden="1" w:unhideWhenUsed="1"/>
    <w:lsdException w:name="envelope return" w:semiHidden="1" w:unhideWhenUsed="1"/>
    <w:lsdException w:name="List Continue 4" w:semiHidden="1" w:unhideWhenUsed="1"/>
    <w:lsdException w:name="Body Text Indent" w:semiHidden="1" w:unhideWhenUsed="1"/>
    <w:lsdException w:name="List 4" w:semiHidden="1" w:unhideWhenUsed="1"/>
    <w:lsdException w:name="Signature" w:semiHidden="1" w:unhideWhenUsed="1"/>
    <w:lsdException w:name="footnote text" w:semiHidden="1" w:unhideWhenUsed="1"/>
    <w:lsdException w:name="List Number 2" w:semiHidden="1" w:unhideWhenUsed="1"/>
    <w:lsdException w:name="Subtitle" w:uiPriority="11" w:qFormat="1"/>
    <w:lsdException w:name="FollowedHyperlink" w:semiHidden="1" w:unhideWhenUsed="1"/>
    <w:lsdException w:name="heading 6" w:uiPriority="9" w:semiHidden="1" w:unhideWhenUsed="1" w:qFormat="1"/>
    <w:lsdException w:name="heading 1" w:uiPriority="9" w:qFormat="1"/>
    <w:lsdException w:name="Body Text" w:semiHidden="1" w:unhideWhenUsed="1"/>
    <w:lsdException w:name="endnote tex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Continue 2" w:semiHidden="1" w:unhideWhenUsed="1"/>
    <w:lsdException w:name="caption" w:uiPriority="35" w:semiHidden="1" w:unhideWhenUsed="1" w:qFormat="1"/>
    <w:lsdException w:name="endnote reference" w:semiHidden="1" w:unhideWhenUsed="1"/>
    <w:lsdException w:name="Body Text Indent 2" w:semiHidden="1" w:unhideWhenUsed="1"/>
    <w:lsdException w:name="toa heading" w:semiHidden="1" w:unhideWhenUsed="1"/>
    <w:lsdException w:name="index 7" w:semiHidden="1" w:unhideWhenUsed="1"/>
    <w:lsdException w:name="heading 5" w:uiPriority="9" w:semiHidden="1" w:unhideWhenUsed="1" w:qFormat="1"/>
    <w:lsdException w:name="index 4" w:semiHidden="1" w:unhideWhenUsed="1"/>
    <w:lsdException w:name="index 9" w:semiHidden="1" w:unhideWhenUsed="1"/>
    <w:lsdException w:name="index 2" w:semiHidden="1" w:unhideWhenUsed="1"/>
    <w:lsdException w:name="Note Heading" w:semiHidden="1" w:unhideWhenUsed="1"/>
    <w:lsdException w:name="index heading" w:semiHidden="1" w:unhideWhenUsed="1"/>
    <w:lsdException w:name="Title" w:uiPriority="10" w:qFormat="1"/>
    <w:lsdException w:name="page number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heading 9" w:uiPriority="9" w:semiHidden="1" w:unhideWhenUsed="1" w:qFormat="1"/>
    <w:lsdException w:name="List 3" w:semiHidden="1" w:unhideWhenUsed="1"/>
    <w:lsdException w:name="Date" w:semiHidden="1" w:unhideWhenUsed="1"/>
    <w:lsdException w:name="toc 5" w:uiPriority="39" w:semiHidden="1" w:unhideWhenUsed="1"/>
    <w:lsdException w:name="Body Text First Indent 2" w:semiHidden="1" w:unhideWhenUsed="1"/>
    <w:lsdException w:name="List Number 3" w:semiHidden="1" w:unhideWhenUsed="1"/>
    <w:lsdException w:name="List" w:semiHidden="1" w:unhideWhenUsed="1"/>
    <w:lsdException w:name="Normal" w:uiPriority="0" w:qFormat="1"/>
    <w:lsdException w:name="Body Text Indent 3" w:semiHidden="1" w:unhideWhenUsed="1"/>
    <w:lsdException w:name="toc 1" w:uiPriority="39" w:semiHidden="1" w:unhideWhenUsed="1"/>
    <w:lsdException w:name="index 5" w:semiHidden="1" w:unhideWhenUsed="1"/>
    <w:lsdException w:name="toc 6" w:uiPriority="39" w:semiHidden="1" w:unhideWhenUsed="1"/>
    <w:lsdException w:name="Salutation" w:semiHidden="1" w:unhideWhenUsed="1"/>
    <w:lsdException w:name="index 6" w:semiHidden="1" w:unhideWhenUsed="1"/>
    <w:lsdException w:name="toc 2" w:uiPriority="39" w:semiHidden="1" w:unhideWhenUsed="1"/>
    <w:lsdException w:name="annotation reference" w:semiHidden="1" w:unhideWhenUsed="1"/>
    <w:lsdException w:name="index 1" w:semiHidden="1" w:unhideWhenUsed="1"/>
    <w:lsdException w:name="index 3" w:semiHidden="1" w:unhideWhenUsed="1"/>
    <w:lsdException w:name="toc 4" w:uiPriority="39" w:semiHidden="1" w:unhideWhenUsed="1"/>
    <w:lsdException w:name="toc 9" w:uiPriority="39" w:semiHidden="1" w:unhideWhenUsed="1"/>
    <w:lsdException w:name="List Continue 3" w:semiHidden="1" w:unhideWhenUsed="1"/>
    <w:lsdException w:name="List Number" w:semiHidden="1" w:unhideWhenUsed="1"/>
    <w:lsdException w:name="Message Header" w:semiHidden="1" w:unhideWhenUsed="1"/>
    <w:lsdException w:name="envelope address" w:semiHidden="1" w:unhideWhenUsed="1"/>
    <w:lsdException w:name="List Bullet 5" w:semiHidden="1" w:unhideWhenUsed="1"/>
    <w:lsdException w:name="List Number 4" w:semiHidden="1" w:unhideWhenUsed="1"/>
    <w:lsdException w:name="Normal Indent" w:semiHidden="1" w:unhideWhenUsed="1"/>
    <w:lsdException w:name="header" w:semiHidden="1" w:unhideWhenUsed="1"/>
    <w:lsdException w:name="List Bullet" w:semiHidden="1" w:unhideWhenUsed="1"/>
    <w:lsdException w:name="Closing" w:semiHidden="1" w:unhideWhenUsed="1"/>
    <w:lsdException w:name="Body Text First Indent" w:semiHidden="1" w:unhideWhenUsed="1"/>
    <w:lsdException w:name="footer" w:semiHidden="1" w:unhideWhenUsed="1"/>
    <w:lsdException w:name="toc 3" w:uiPriority="39" w:semiHidden="1" w:unhideWhenUsed="1"/>
    <w:lsdException w:name="table of figures" w:semiHidden="1" w:unhideWhenUsed="1"/>
    <w:lsdException w:name="toc 8" w:uiPriority="39" w:semiHidden="1" w:unhideWhenUsed="1"/>
    <w:lsdException w:name="Body Text 2" w:semiHidden="1" w:unhideWhenUsed="1"/>
    <w:lsdException w:name="List 5" w:semiHidden="1" w:unhideWhenUsed="1"/>
    <w:lsdException w:name="List Continue" w:semiHidden="1" w:unhideWhenUsed="1"/>
    <w:lsdException w:name="List 2" w:semiHidden="1" w:unhideWhenUsed="1"/>
    <w:lsdException w:name="Block Text" w:semiHidden="1" w:unhideWhenUsed="1"/>
    <w:lsdException w:name="macro" w:semiHidden="1" w:unhideWhenUsed="1"/>
    <w:lsdException w:name="Hyperlink" w:semiHidden="1" w:unhideWhenUsed="1"/>
    <w:lsdException w:name="Body Text 3" w:semiHidden="1" w:unhideWhenUsed="1"/>
    <w:lsdException w:name="Strong" w:uiPriority="22" w:qFormat="1"/>
    <w:lsdException w:name="table of authorities" w:semiHidden="1" w:unhideWhenUsed="1"/>
    <w:lsdException w:name="heading 7" w:uiPriority="9" w:semiHidden="1" w:unhideWhenUsed="1" w:qFormat="1"/>
    <w:lsdException w:name="heading 3" w:uiPriority="9" w:semiHidden="1" w:unhideWhenUsed="1" w:qFormat="1"/>
    <w:lsdException w:name="heading 8" w:uiPriority="9" w:semiHidden="1" w:unhideWhenUsed="1" w:qFormat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2026-10-30T11:19:41Z</dcterms:created>
  <dcterms:modified xsi:type="dcterms:W3CDTF">2026-10-30T11:19:41Z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"01a18ac6b653779d85a53f6e08f317f2", "ReservedCode1": "", "ContentPropagator": "00119111010856365494821B355", "PropagateID": "01a18ac6b653779d85a53f6e08f317f2", "ReservedCode2": ""}}</vt:lpwstr>
  </property>
</Properties>
</file>