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>
      <w:pPr>
        <w:pStyle w:val="000002"/>
        <w:keepNext w:val="1"/>
        <w:keepLines w:val="1"/>
        <w:pBdr>
          <w:bottom w:val="single" w:color="0e5a46" w:sz="18" w:space="9"/>
        </w:pBdr>
        <w:spacing w:before="100" w:beforeAutospacing="1" w:after="100" w:afterAutospacing="1" w:line="432"/>
        <w:jc w:val="center"/>
        <w:outlineLvl w:val="0"/>
        <w:rPr>
          <w:color w:val="0e5a46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0e5a46"/>
          <w:sz w:val="36"/>
        </w:rPr>
        <w:t>远筑工程 · 工程变更与签证协同 AI 助手设计方案</w:t>
      </w:r>
    </w:p>
    <w:p w14:paraId="00000002">
      <w:pPr>
        <w:spacing w:before="120" w:after="120" w:line="432"/>
        <w:ind w:left="0" w:right="0"/>
        <w:jc w:val="center"/>
        <w:rPr>
          <w:color w:val="666666"/>
        </w:rPr>
      </w:pPr>
      <w:r>
        <w:rPr>
          <w:rFonts w:hint="eastAsia" w:ascii="Microsoft YaHei" w:hAnsi="Microsoft YaHei" w:eastAsia="Microsoft YaHei" w:cs="Microsoft YaHei"/>
          <w:color w:val="666666"/>
          <w:sz w:val="17"/>
        </w:rPr>
        <w:t>客户：远筑工程｜版本：V1.0（试点方案）｜依据：FDE 实验室业务挖掘与现场调研结论（合成业务场景）</w:t>
      </w:r>
    </w:p>
    <w:p w14:paraId="00000003">
      <w:pPr>
        <w:pStyle w:val="000003"/>
        <w:keepNext w:val="1"/>
        <w:keepLines w:val="1"/>
        <w:pBdr>
          <w:left w:val="single" w:color="0e5a46" w:sz="30" w:space="7"/>
        </w:pBdr>
        <w:spacing w:before="420" w:beforeAutospacing="1" w:after="100" w:afterAutospacing="1" w:line="432"/>
        <w:outlineLvl w:val="1"/>
        <w:rPr>
          <w:color w:val="0e5a46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e5a46"/>
          <w:sz w:val="26"/>
        </w:rPr>
        <w:t>1 项目背景与目标</w:t>
      </w:r>
    </w:p>
    <w:p w14:paraId="00000004">
      <w:pPr>
        <w:spacing w:before="120" w:after="120" w:line="432"/>
        <w:ind w:left="0" w:right="0" w:firstLine="48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远筑工程在"工程变更与签证协同"环节投入大量人力，但现场仍出现"新图已上传、无人做交底，现场按旧图施工"的典型事件，变更签证单存在施工、造价、业主三个版本不一致的问题。管理层希望借助 AI 改善，但需先确定优先环节、验收标准与权限边界。</w:t>
      </w:r>
    </w:p>
    <w:tbl>
      <w:tblPr>
        <w:tblW w:w="8306" w:type="dxa"/>
        <w:shd w:color="22222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0e5a4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00005">
            <w:pPr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7"/>
              </w:rPr>
              <w:t>指标</w:t>
            </w:r>
          </w:p>
        </w:tc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0e5a4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00006">
            <w:pPr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7"/>
              </w:rPr>
              <w:t>现状</w:t>
            </w:r>
          </w:p>
        </w:tc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0e5a4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00007">
            <w:pPr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7"/>
              </w:rPr>
              <w:t>目标（试点期 3 个月）</w:t>
            </w:r>
          </w:p>
        </w:tc>
      </w:tr>
      <w:tr>
        <w:trPr/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08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变更处理时长（发布→现场确认）</w:t>
            </w:r>
          </w:p>
        </w:tc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09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待基线采集</w:t>
            </w:r>
          </w:p>
        </w:tc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0A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下降 50% 以上</w:t>
            </w:r>
          </w:p>
        </w:tc>
      </w:tr>
      <w:tr>
        <w:trPr/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0B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版本错位导致的返工次数</w:t>
            </w:r>
          </w:p>
        </w:tc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0C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待基线采集</w:t>
            </w:r>
          </w:p>
        </w:tc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0D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下降 80% 以上</w:t>
            </w:r>
          </w:p>
        </w:tc>
      </w:tr>
      <w:tr>
        <w:trPr/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0E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签证单版本一致性</w:t>
            </w:r>
          </w:p>
        </w:tc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0F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多版本并存</w:t>
            </w:r>
          </w:p>
        </w:tc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0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版本不一致归零</w:t>
            </w:r>
          </w:p>
        </w:tc>
      </w:tr>
      <w:tr>
        <w:trPr/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1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交底触达与签收率</w:t>
            </w:r>
          </w:p>
        </w:tc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2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无记录</w:t>
            </w:r>
          </w:p>
        </w:tc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3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100% 留痕可查</w:t>
            </w:r>
          </w:p>
        </w:tc>
      </w:tr>
      <w:tr>
        <w:trPr/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4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人工复核成本</w:t>
            </w:r>
          </w:p>
        </w:tc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5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待基线采集</w:t>
            </w:r>
          </w:p>
        </w:tc>
        <w:tc>
          <w:tcPr>
            <w:tcW w:w="2768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6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可视化、可核算</w:t>
            </w:r>
          </w:p>
        </w:tc>
      </w:tr>
    </w:tbl>
    <w:p w14:paraId="00000017">
      <w:pPr>
        <w:pStyle w:val="000003"/>
        <w:keepNext w:val="1"/>
        <w:keepLines w:val="1"/>
        <w:pBdr>
          <w:left w:val="single" w:color="0e5a46" w:sz="30" w:space="7"/>
        </w:pBdr>
        <w:spacing w:before="420" w:beforeAutospacing="1" w:after="100" w:afterAutospacing="1" w:line="432"/>
        <w:outlineLvl w:val="1"/>
        <w:rPr>
          <w:color w:val="0e5a46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e5a46"/>
          <w:sz w:val="26"/>
        </w:rPr>
        <w:t>2 总体方案</w:t>
      </w:r>
    </w:p>
    <w:p w14:paraId="00000018">
      <w:pPr>
        <w:spacing w:before="120" w:after="120" w:line="432"/>
        <w:ind w:left="0" w:right="0" w:firstLine="48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方案围绕"版本唯一、交底必达、签证同源、留痕可审计"十六字设计，按四个层次构建：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fe3da" w:sz="6"/>
              <w:left w:val="single" w:color="cfe3da" w:sz="6"/>
              <w:bottom w:val="single" w:color="cfe3da" w:sz="6"/>
              <w:right w:val="single" w:color="cfe3da" w:sz="6"/>
            </w:tcBorders>
            <w:shd w:val="clear" w:fill="f4f8f6"/>
            <w:tcMar>
              <w:top w:w="180" w:type="dxa"/>
              <w:bottom w:w="180" w:type="dxa"/>
            </w:tcMar>
            <w:vAlign w:val="center"/>
          </w:tcPr>
          <w:p w14:paraId="00000019">
            <w:pPr>
              <w:rPr>
                <w:color w:val="222222"/>
              </w:rPr>
            </w:pPr>
            <w:r>
              <w:rPr>
                <w:rFonts w:ascii="monospace" w:hAnsi="monospace" w:eastAsia="monospace" w:cs="monospace"/>
              </w:rPr>
              <w:t>┌───────────────────────────────────────────────────┐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应用层：变更台账 / 交底管理 / 签证协同 / 数据看板         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├───────────────────────────────────────────────────┤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AI 能力层：图纸比对 / 变更影响识别 / 签证起草 / 要素提取   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├───────────────────────────────────────────────────┤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平台层：统一变更入口 · 权限中心 · 消息推送 · 审计日志      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├───────────────────────────────────────────────────┤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│  数据层：图纸库 · 变更库 · 签证库 · 指标库（唯一版本源）     │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└───────────────────────────────────────────────────┘</w:t>
            </w:r>
          </w:p>
        </w:tc>
      </w:tr>
    </w:tbl>
    <w:p w14:paraId="0000001A">
      <w:pPr>
        <w:pStyle w:val="000003"/>
        <w:keepNext w:val="1"/>
        <w:keepLines w:val="1"/>
        <w:pBdr>
          <w:left w:val="single" w:color="0e5a46" w:sz="30" w:space="7"/>
        </w:pBdr>
        <w:spacing w:before="420" w:beforeAutospacing="1" w:after="100" w:afterAutospacing="1" w:line="432"/>
        <w:outlineLvl w:val="1"/>
        <w:rPr>
          <w:color w:val="0e5a46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e5a46"/>
          <w:sz w:val="26"/>
        </w:rPr>
        <w:t>3 功能设计</w:t>
      </w:r>
    </w:p>
    <w:p w14:paraId="0000001B">
      <w:pPr>
        <w:pStyle w:val="000004"/>
        <w:keepNext w:val="1"/>
        <w:keepLines w:val="1"/>
        <w:spacing w:before="270" w:beforeAutospacing="1" w:after="100" w:afterAutospacing="1" w:line="432"/>
        <w:outlineLvl w:val="2"/>
        <w:rPr>
          <w:color w:val="1d7a5f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d7a5f"/>
          <w:sz w:val="22"/>
        </w:rPr>
        <w:t>3.1 统一变更入口与版本管理</w:t>
      </w:r>
    </w:p>
    <w:p w14:paraId="0000001C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设计变更统一登记：编号、关联合同与图纸、版本号唯一；</w:t>
      </w:r>
    </w:p>
    <w:p w14:paraId="0000001D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新旧图版本树管理，任一单据引用可追溯到具体版本与上传人；</w:t>
      </w:r>
    </w:p>
    <w:p w14:paraId="0000001E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旧版本自动标记作废，杜绝旧图流转。</w:t>
      </w:r>
    </w:p>
    <w:p w14:paraId="0000001F">
      <w:pPr>
        <w:pStyle w:val="000004"/>
        <w:keepNext w:val="1"/>
        <w:keepLines w:val="1"/>
        <w:spacing w:before="270" w:beforeAutospacing="1" w:after="100" w:afterAutospacing="1" w:line="432"/>
        <w:outlineLvl w:val="2"/>
        <w:rPr>
          <w:color w:val="1d7a5f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d7a5f"/>
          <w:sz w:val="22"/>
        </w:rPr>
        <w:t>3.2 AI 比对与变更影响识别</w:t>
      </w:r>
    </w:p>
    <w:p w14:paraId="00000020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新旧版图纸/变更单自动比对，高亮差异区域；</w:t>
      </w:r>
    </w:p>
    <w:p w14:paraId="00000021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AI 提取变更要素（部位、工程量、工期、造价影响）生成影响摘要；</w:t>
      </w:r>
    </w:p>
    <w:p w14:paraId="00000022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影响摘要推送项目经理与造价工程师预判，结论仍由人工确认。</w:t>
      </w:r>
    </w:p>
    <w:p w14:paraId="00000023">
      <w:pPr>
        <w:pStyle w:val="000004"/>
        <w:keepNext w:val="1"/>
        <w:keepLines w:val="1"/>
        <w:spacing w:before="270" w:beforeAutospacing="1" w:after="100" w:afterAutospacing="1" w:line="432"/>
        <w:outlineLvl w:val="2"/>
        <w:rPr>
          <w:color w:val="1d7a5f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d7a5f"/>
          <w:sz w:val="22"/>
        </w:rPr>
        <w:t>3.3 交底自动推送与签收闭环</w:t>
      </w:r>
    </w:p>
    <w:p w14:paraId="00000024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按角色与工序自动生成交底任务并定向推送（App / 短信）；</w:t>
      </w:r>
    </w:p>
    <w:p w14:paraId="00000025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现场移动端阅读签收，支持拍照留证；</w:t>
      </w:r>
    </w:p>
    <w:p w14:paraId="00000026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超时未签收自动升级提醒至班组长与项目经理。</w:t>
      </w:r>
    </w:p>
    <w:p w14:paraId="00000027">
      <w:pPr>
        <w:pStyle w:val="000004"/>
        <w:keepNext w:val="1"/>
        <w:keepLines w:val="1"/>
        <w:spacing w:before="270" w:beforeAutospacing="1" w:after="100" w:afterAutospacing="1" w:line="432"/>
        <w:outlineLvl w:val="2"/>
        <w:rPr>
          <w:color w:val="1d7a5f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d7a5f"/>
          <w:sz w:val="22"/>
        </w:rPr>
        <w:t>3.4 签证单 AI 起草与在线协同</w:t>
      </w:r>
    </w:p>
    <w:p w14:paraId="00000028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AI 依据变更记录与工程量数据起草签证单草稿，来源可溯；</w:t>
      </w:r>
    </w:p>
    <w:p w14:paraId="00000029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施工、造价、业主在同一单据上协同，版本唯一；</w:t>
      </w:r>
    </w:p>
    <w:p w14:paraId="0000002A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造价核定、质量安全审查、业主确认全部在线留痕。</w:t>
      </w:r>
    </w:p>
    <w:p w14:paraId="0000002B">
      <w:pPr>
        <w:pStyle w:val="000004"/>
        <w:keepNext w:val="1"/>
        <w:keepLines w:val="1"/>
        <w:spacing w:before="270" w:beforeAutospacing="1" w:after="100" w:afterAutospacing="1" w:line="432"/>
        <w:outlineLvl w:val="2"/>
        <w:rPr>
          <w:color w:val="1d7a5f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d7a5f"/>
          <w:sz w:val="22"/>
        </w:rPr>
        <w:t>3.5 数据看板与持续改进</w:t>
      </w:r>
    </w:p>
    <w:p w14:paraId="0000002C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五项基线指标实时展示，支持按项目、按时间钻取；</w:t>
      </w:r>
    </w:p>
    <w:p w14:paraId="0000002D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试点复盘数据自动沉淀，反哺规则库与 AI 提示词优化。</w:t>
      </w:r>
    </w:p>
    <w:p w14:paraId="0000002E">
      <w:pPr>
        <w:pStyle w:val="000003"/>
        <w:keepNext w:val="1"/>
        <w:keepLines w:val="1"/>
        <w:pBdr>
          <w:left w:val="single" w:color="0e5a46" w:sz="30" w:space="7"/>
        </w:pBdr>
        <w:spacing w:before="420" w:beforeAutospacing="1" w:after="100" w:afterAutospacing="1" w:line="432"/>
        <w:outlineLvl w:val="1"/>
        <w:rPr>
          <w:color w:val="0e5a46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e5a46"/>
          <w:sz w:val="26"/>
        </w:rPr>
        <w:t>4 权限与人工确认边界（红线设计）</w:t>
      </w:r>
    </w:p>
    <w:p w14:paraId="0000002F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AI 不做自动批准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：签证确认、造价核定、质量安全审查一律人工审批；</w:t>
      </w:r>
    </w:p>
    <w:p w14:paraId="00000030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AI 输出必须带来源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：起草与摘要内容逐条标注依据单据，无来源不展示；</w:t>
      </w:r>
    </w:p>
    <w:p w14:paraId="00000031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全程审计留痕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：每次 AI 生成、人工修改、审批动作记录操作人、时间与内容摘要；</w:t>
      </w:r>
    </w:p>
    <w:p w14:paraId="00000032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权限最小化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：按角色授权查看与操作范围，业主侧仅开放确认与反馈权限；</w:t>
      </w:r>
    </w:p>
    <w:p w14:paraId="00000033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兜底转人工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：AI 识别置信度低或规则冲突时自动转人工处理。</w:t>
      </w:r>
    </w:p>
    <w:p w14:paraId="00000034">
      <w:pPr>
        <w:pStyle w:val="000003"/>
        <w:keepNext w:val="1"/>
        <w:keepLines w:val="1"/>
        <w:pBdr>
          <w:left w:val="single" w:color="0e5a46" w:sz="30" w:space="7"/>
        </w:pBdr>
        <w:spacing w:before="420" w:beforeAutospacing="1" w:after="100" w:afterAutospacing="1" w:line="432"/>
        <w:outlineLvl w:val="1"/>
        <w:rPr>
          <w:color w:val="0e5a46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e5a46"/>
          <w:sz w:val="26"/>
        </w:rPr>
        <w:t>5 实施计划（对应 FDE 九阶段）</w:t>
      </w:r>
    </w:p>
    <w:tbl>
      <w:tblPr>
        <w:tblW w:w="8306" w:type="dxa"/>
        <w:shd w:color="22222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0e5a4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00035">
            <w:pPr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7"/>
              </w:rPr>
              <w:t>阶段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0e5a4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00036">
            <w:pPr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7"/>
              </w:rPr>
              <w:t>周期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0e5a4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00037">
            <w:pPr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7"/>
              </w:rPr>
              <w:t>关键动作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0e5a46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00038">
            <w:pPr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7"/>
              </w:rPr>
              <w:t>关卡（Gate）</w:t>
            </w:r>
          </w:p>
        </w:tc>
      </w:tr>
      <w:tr>
        <w:trPr/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39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业务挖掘 + 现场调研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3A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第 1–2 周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3B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六角色访谈、基线采集方案确认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3C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业务负责人确认问题与指标口径</w:t>
            </w:r>
          </w:p>
        </w:tc>
      </w:tr>
      <w:tr>
        <w:trPr/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3D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需求定义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3E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第 3–4 周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3F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需求规格、验收清单确认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0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问题优先级与验收条件有确认记录</w:t>
            </w:r>
          </w:p>
        </w:tc>
      </w:tr>
      <w:tr>
        <w:trPr/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1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方案设计 + 构建集成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2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第 5–8 周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3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平台配置、AI 能力接入、权限联调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4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关键流程与人工控制逐项核对</w:t>
            </w:r>
          </w:p>
        </w:tc>
      </w:tr>
      <w:tr>
        <w:trPr/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5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测试评估 + 客户试点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6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第 9–16 周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7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单项目试点、每周复盘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8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指标对照基线达标</w:t>
            </w:r>
          </w:p>
        </w:tc>
      </w:tr>
      <w:tr>
        <w:trPr/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9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上线交接 + 运营迭代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A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第 17 周起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B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全项目推广、月度运营复盘</w:t>
            </w:r>
          </w:p>
        </w:tc>
        <w:tc>
          <w:tcPr>
            <w:tcW w:w="2076" w:type="dxa"/>
            <w:tcBorders>
              <w:top w:val="single" w:color="9fc9b8" w:sz="6"/>
              <w:left w:val="single" w:color="9fc9b8" w:sz="6"/>
              <w:bottom w:val="single" w:color="9fc9b8" w:sz="6"/>
              <w:right w:val="single" w:color="9fc9b8" w:sz="6"/>
            </w:tcBorders>
            <w:shd w:val="clear" w:fill="eef7f3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4C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采用率与 ROI 达标</w:t>
            </w:r>
          </w:p>
        </w:tc>
      </w:tr>
    </w:tbl>
    <w:p w14:paraId="0000004D">
      <w:pPr>
        <w:pStyle w:val="000003"/>
        <w:keepNext w:val="1"/>
        <w:keepLines w:val="1"/>
        <w:pBdr>
          <w:left w:val="single" w:color="0e5a46" w:sz="30" w:space="7"/>
        </w:pBdr>
        <w:spacing w:before="420" w:beforeAutospacing="1" w:after="100" w:afterAutospacing="1" w:line="432"/>
        <w:outlineLvl w:val="1"/>
        <w:rPr>
          <w:color w:val="0e5a46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e5a46"/>
          <w:sz w:val="26"/>
        </w:rPr>
        <w:t>6 验收标准</w:t>
      </w:r>
    </w:p>
    <w:p w14:paraId="0000004E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试点项目全部变更走统一入口，线下通道关闭；</w:t>
      </w:r>
    </w:p>
    <w:p w14:paraId="0000004F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交底任务签收率 100%，超时升级机制有效触发；</w:t>
      </w:r>
    </w:p>
    <w:p w14:paraId="00000050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试点期内版本错位返工事件为零（对照基线）；</w:t>
      </w:r>
    </w:p>
    <w:p w14:paraId="00000051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签证单版本不一致数为零，业主确认周期缩短 50% 以上；</w:t>
      </w:r>
    </w:p>
    <w:p w14:paraId="00000052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五项基线指标全部可测、可视化，月度报告自动生成。</w:t>
      </w:r>
    </w:p>
    <w:p w14:paraId="00000053">
      <w:pPr>
        <w:pStyle w:val="000003"/>
        <w:keepNext w:val="1"/>
        <w:keepLines w:val="1"/>
        <w:pBdr>
          <w:left w:val="single" w:color="0e5a46" w:sz="30" w:space="7"/>
        </w:pBdr>
        <w:spacing w:before="420" w:beforeAutospacing="1" w:after="100" w:afterAutospacing="1" w:line="432"/>
        <w:outlineLvl w:val="1"/>
        <w:rPr>
          <w:color w:val="0e5a46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0e5a46"/>
          <w:sz w:val="26"/>
        </w:rPr>
        <w:t>7 报价概要</w:t>
      </w:r>
    </w:p>
    <w:p w14:paraId="00000054">
      <w:pPr>
        <w:spacing w:before="120" w:after="120" w:line="432"/>
        <w:ind w:left="0" w:right="0" w:firstLine="48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详细报价见《05-报价单.xlsx》。方案采用"实施服务 + 平台订阅 + AI 用量"组合计价，首期试点（3 个月）打包价 28.6 万元，详见报价单分解。</w:t>
      </w:r>
    </w:p>
    <w:p w14:paraId="00000055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index 7" w:semiHidden="1" w:unhideWhenUsed="1"/>
    <w:lsdException w:name="FollowedHyperlink" w:semiHidden="1" w:unhideWhenUsed="1"/>
    <w:lsdException w:name="Body Text First Indent" w:semiHidden="1" w:unhideWhenUsed="1"/>
    <w:lsdException w:name="heading 1" w:uiPriority="9" w:qFormat="1"/>
    <w:lsdException w:name="heading 6" w:uiPriority="9" w:semiHidden="1" w:unhideWhenUsed="1" w:qFormat="1"/>
    <w:lsdException w:name="heading 2" w:uiPriority="9" w:semiHidden="1" w:unhideWhenUsed="1" w:qFormat="1"/>
    <w:lsdException w:name="List Bullet 3" w:semiHidden="1" w:unhideWhenUsed="1"/>
    <w:lsdException w:name="footer" w:semiHidden="1" w:unhideWhenUsed="1"/>
    <w:lsdException w:name="List Continue 2" w:semiHidden="1" w:unhideWhenUsed="1"/>
    <w:lsdException w:name="Block Text" w:semiHidden="1" w:unhideWhenUsed="1"/>
    <w:lsdException w:name="Body Text 2" w:semiHidden="1" w:unhideWhenUsed="1"/>
    <w:lsdException w:name="index 1" w:semiHidden="1" w:unhideWhenUsed="1"/>
    <w:lsdException w:name="toc 4" w:uiPriority="39" w:semiHidden="1" w:unhideWhenUsed="1"/>
    <w:lsdException w:name="Signature" w:semiHidden="1" w:unhideWhenUsed="1"/>
    <w:lsdException w:name="footnote text" w:semiHidden="1" w:unhideWhenUsed="1"/>
    <w:lsdException w:name="Body Text Indent 3" w:semiHidden="1" w:unhideWhenUsed="1"/>
    <w:lsdException w:name="toc 1" w:uiPriority="39" w:semiHidden="1" w:unhideWhenUsed="1"/>
    <w:lsdException w:name="Message Header" w:semiHidden="1" w:unhideWhenUsed="1"/>
    <w:lsdException w:name="toc 6" w:uiPriority="39" w:semiHidden="1" w:unhideWhenUsed="1"/>
    <w:lsdException w:name="heading 3" w:uiPriority="9" w:semiHidden="1" w:unhideWhenUsed="1" w:qFormat="1"/>
    <w:lsdException w:name="heading 8" w:uiPriority="9" w:semiHidden="1" w:unhideWhenUsed="1" w:qFormat="1"/>
    <w:lsdException w:name="Subtitle" w:uiPriority="11" w:qFormat="1"/>
    <w:lsdException w:name="List Number" w:semiHidden="1" w:unhideWhenUsed="1"/>
    <w:lsdException w:name="Title" w:uiPriority="10" w:qFormat="1"/>
    <w:lsdException w:name="List Number 5" w:semiHidden="1" w:unhideWhenUsed="1"/>
    <w:lsdException w:name="Normal Indent" w:semiHidden="1" w:unhideWhenUsed="1"/>
    <w:lsdException w:name="header" w:semiHidden="1" w:unhideWhenUsed="1"/>
    <w:lsdException w:name="List 3" w:semiHidden="1" w:unhideWhenUsed="1"/>
    <w:lsdException w:name="Closing" w:semiHidden="1" w:unhideWhenUsed="1"/>
    <w:lsdException w:name="toc 7" w:uiPriority="39" w:semiHidden="1" w:unhideWhenUsed="1"/>
    <w:lsdException w:name="Date" w:semiHidden="1" w:unhideWhenUsed="1"/>
    <w:lsdException w:name="List Bullet" w:semiHidden="1" w:unhideWhenUsed="1"/>
    <w:lsdException w:name="heading 9" w:uiPriority="9" w:semiHidden="1" w:unhideWhenUsed="1" w:qFormat="1"/>
    <w:lsdException w:name="List Continue 5" w:semiHidden="1" w:unhideWhenUsed="1"/>
    <w:lsdException w:name="List Bullet 4" w:semiHidden="1" w:unhideWhenUsed="1"/>
    <w:lsdException w:name="caption" w:uiPriority="35" w:semiHidden="1" w:unhideWhenUsed="1" w:qFormat="1"/>
    <w:lsdException w:name="toc 5" w:uiPriority="39" w:semiHidden="1" w:unhideWhenUsed="1"/>
    <w:lsdException w:name="List Number 3" w:semiHidden="1" w:unhideWhenUsed="1"/>
    <w:lsdException w:name="annotation reference" w:semiHidden="1" w:unhideWhenUsed="1"/>
    <w:lsdException w:name="List Continue" w:semiHidden="1" w:unhideWhenUsed="1"/>
    <w:lsdException w:name="endnote reference" w:semiHidden="1" w:unhideWhenUsed="1"/>
    <w:lsdException w:name="Salutation" w:semiHidden="1" w:unhideWhenUsed="1"/>
    <w:lsdException w:name="envelope address" w:semiHidden="1" w:unhideWhenUsed="1"/>
    <w:lsdException w:name="List Bullet 5" w:semiHidden="1" w:unhideWhenUsed="1"/>
    <w:lsdException w:name="List Continue 3" w:semiHidden="1" w:unhideWhenUsed="1"/>
    <w:lsdException w:name="index heading" w:semiHidden="1" w:unhideWhenUsed="1"/>
    <w:lsdException w:name="footnote reference" w:semiHidden="1" w:unhideWhenUsed="1"/>
    <w:lsdException w:name="index 4" w:semiHidden="1" w:unhideWhenUsed="1"/>
    <w:lsdException w:name="annotation text" w:semiHidden="1" w:unhideWhenUsed="1"/>
    <w:lsdException w:name="Body Text" w:semiHidden="1" w:unhideWhenUsed="1"/>
    <w:lsdException w:name="Note Heading" w:semiHidden="1" w:unhideWhenUsed="1"/>
    <w:lsdException w:name="endnote text" w:semiHidden="1" w:unhideWhenUsed="1"/>
    <w:lsdException w:name="heading 4" w:uiPriority="9" w:semiHidden="1" w:unhideWhenUsed="1" w:qFormat="1"/>
    <w:lsdException w:name="List Number 4" w:semiHidden="1" w:unhideWhenUsed="1"/>
    <w:lsdException w:name="envelope return" w:semiHidden="1" w:unhideWhenUsed="1"/>
    <w:lsdException w:name="List 4" w:semiHidden="1" w:unhideWhenUsed="1"/>
    <w:lsdException w:name="List" w:semiHidden="1" w:unhideWhenUsed="1"/>
    <w:lsdException w:name="Hyperlink" w:semiHidden="1" w:unhideWhenUsed="1"/>
    <w:lsdException w:name="index 5" w:semiHidden="1" w:unhideWhenUsed="1"/>
    <w:lsdException w:name="List Continue 4" w:semiHidden="1" w:unhideWhenUsed="1"/>
    <w:lsdException w:name="List 5" w:semiHidden="1" w:unhideWhenUsed="1"/>
    <w:lsdException w:name="macro" w:semiHidden="1" w:unhideWhenUsed="1"/>
    <w:lsdException w:name="List 2" w:semiHidden="1" w:unhideWhenUsed="1"/>
    <w:lsdException w:name="Normal" w:uiPriority="0" w:qFormat="1"/>
    <w:lsdException w:name="heading 7" w:uiPriority="9" w:semiHidden="1" w:unhideWhenUsed="1" w:qFormat="1"/>
    <w:lsdException w:name="index 3" w:semiHidden="1" w:unhideWhenUsed="1"/>
    <w:lsdException w:name="toc 2" w:uiPriority="39" w:semiHidden="1" w:unhideWhenUsed="1"/>
    <w:lsdException w:name="Strong" w:uiPriority="22" w:qFormat="1"/>
    <w:lsdException w:name="line number" w:semiHidden="1" w:unhideWhenUsed="1"/>
    <w:lsdException w:name="Default Paragraph Font" w:uiPriority="1" w:semiHidden="1" w:unhideWhenUsed="1"/>
    <w:lsdException w:name="heading 5" w:uiPriority="9" w:semiHidden="1" w:unhideWhenUsed="1" w:qFormat="1"/>
    <w:lsdException w:name="List Bullet 2" w:semiHidden="1" w:unhideWhenUsed="1"/>
    <w:lsdException w:name="page number" w:semiHidden="1" w:unhideWhenUsed="1"/>
    <w:lsdException w:name="toc 3" w:uiPriority="39" w:semiHidden="1" w:unhideWhenUsed="1"/>
    <w:lsdException w:name="toc 8" w:uiPriority="39" w:semiHidden="1" w:unhideWhenUsed="1"/>
    <w:lsdException w:name="table of figures" w:semiHidden="1" w:unhideWhenUsed="1"/>
    <w:lsdException w:name="index 8" w:semiHidden="1" w:unhideWhenUsed="1"/>
    <w:lsdException w:name="Body Text First Indent 2" w:semiHidden="1" w:unhideWhenUsed="1"/>
    <w:lsdException w:name="index 6" w:semiHidden="1" w:unhideWhenUsed="1"/>
    <w:lsdException w:name="Body Text 3" w:semiHidden="1" w:unhideWhenUsed="1"/>
    <w:lsdException w:name="Body Text Indent" w:semiHidden="1" w:unhideWhenUsed="1"/>
    <w:lsdException w:name="Body Text Indent 2" w:semiHidden="1" w:unhideWhenUsed="1"/>
    <w:lsdException w:name="toa heading" w:semiHidden="1" w:unhideWhenUsed="1"/>
    <w:lsdException w:name="table of authorities" w:semiHidden="1" w:unhideWhenUsed="1"/>
    <w:lsdException w:name="List Number 2" w:semiHidden="1" w:unhideWhenUsed="1"/>
    <w:lsdException w:name="toc 9" w:uiPriority="39" w:semiHidden="1" w:unhideWhenUsed="1"/>
    <w:lsdException w:name="index 9" w:semiHidden="1" w:unhideWhenUsed="1"/>
    <w:lsdException w:name="index 2" w:semiHidden="1" w:unhideWhenUsed="1"/>
  </w:latentStyles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2026-10-30T11:19:49Z</dcterms:created>
  <dcterms:modified xsi:type="dcterms:W3CDTF">2026-10-30T11:19:49Z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"01a18ac6b653779d85a53f6e08f317f2", "ReservedCode1": "", "ContentPropagator": "00119111010856365494821B355", "PropagateID": "01a18ac6b653779d85a53f6e08f317f2", "ReservedCode2": ""}}</vt:lpwstr>
  </property>
</Properties>
</file>