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54AB08D2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E60BCB">
        <w:rPr>
          <w:rFonts w:ascii="Times New Roman" w:hAnsi="Times New Roman" w:cs="Times New Roman"/>
        </w:rPr>
        <w:t>wolf.a.alders@gmail.com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2B0AB242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  <w:r w:rsidR="00455650">
        <w:rPr>
          <w:rFonts w:ascii="Times New Roman" w:hAnsi="Times New Roman" w:cs="Times New Roman"/>
        </w:rPr>
        <w:t>. Supervisor: Paul Lane</w:t>
      </w:r>
    </w:p>
    <w:p w14:paraId="73085820" w14:textId="0D96F99E" w:rsidR="00E119D1" w:rsidRDefault="00E119D1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5F0091DF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  <w:r w:rsidR="00455650">
        <w:rPr>
          <w:rFonts w:ascii="Times New Roman" w:hAnsi="Times New Roman" w:cs="Times New Roman"/>
        </w:rPr>
        <w:t>. Supervisor: Carla Klehm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5E65A66" w14:textId="2DE7D960" w:rsidR="008A0250" w:rsidRPr="00504CF2" w:rsidRDefault="00F1172E" w:rsidP="00504CF2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22B6441F" w:rsidR="00945B88" w:rsidRPr="00945B88" w:rsidRDefault="00945B88" w:rsidP="00945B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>.</w:t>
      </w:r>
      <w:r w:rsidR="00B30CBF">
        <w:rPr>
          <w:rFonts w:ascii="Times New Roman" w:hAnsi="Times New Roman" w:cs="Times New Roman"/>
        </w:rPr>
        <w:t xml:space="preserve"> In review with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0717A6D5" w14:textId="76BC21F4" w:rsidR="008A0250" w:rsidRDefault="008A0250" w:rsidP="008A025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Evaluating forced displacement</w:t>
      </w:r>
      <w:r w:rsidRPr="009A3FC4">
        <w:rPr>
          <w:rFonts w:ascii="Times New Roman" w:hAnsi="Times New Roman" w:cs="Times New Roman"/>
        </w:rPr>
        <w:t xml:space="preserve"> on the eastern African Swahili Coast, 500-1900 CE</w:t>
      </w:r>
      <w:r>
        <w:rPr>
          <w:rFonts w:ascii="Times New Roman" w:hAnsi="Times New Roman" w:cs="Times New Roman"/>
        </w:rPr>
        <w:t xml:space="preserve">. </w:t>
      </w:r>
      <w:r w:rsidR="00B30CB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review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7B25D0CC" w14:textId="35CFB99C" w:rsidR="00B30CBF" w:rsidRDefault="00B30CBF" w:rsidP="00B30CB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 w:rsidRPr="003C565B">
        <w:rPr>
          <w:rFonts w:ascii="Times New Roman" w:hAnsi="Times New Roman" w:cs="Times New Roman"/>
        </w:rPr>
        <w:tab/>
        <w:t>Dumitru, I.A.,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Kristiansen, S.M., Lupien R., Raja, R.</w:t>
      </w:r>
      <w:r>
        <w:rPr>
          <w:rFonts w:ascii="Times New Roman" w:hAnsi="Times New Roman" w:cs="Times New Roman"/>
        </w:rPr>
        <w:t>,</w:t>
      </w:r>
      <w:r w:rsidRPr="008A0250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Sindbæk, S.M.,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Olsen, J. Global climate event coincides with extreme drought and migrations in 6th – 7th centuries CE eastern Africa.</w:t>
      </w:r>
      <w:r>
        <w:rPr>
          <w:rFonts w:ascii="Times New Roman" w:hAnsi="Times New Roman" w:cs="Times New Roman"/>
        </w:rPr>
        <w:t xml:space="preserve"> In review</w:t>
      </w:r>
      <w:r w:rsidRPr="003C565B">
        <w:rPr>
          <w:rFonts w:ascii="Times New Roman" w:hAnsi="Times New Roman" w:cs="Times New Roman"/>
        </w:rPr>
        <w:t xml:space="preserve"> for </w:t>
      </w:r>
      <w:r w:rsidRPr="003C565B">
        <w:rPr>
          <w:rFonts w:ascii="Times New Roman" w:hAnsi="Times New Roman" w:cs="Times New Roman"/>
          <w:i/>
          <w:iCs/>
        </w:rPr>
        <w:t>Science</w:t>
      </w:r>
      <w:r>
        <w:rPr>
          <w:rFonts w:ascii="Times New Roman" w:hAnsi="Times New Roman" w:cs="Times New Roman"/>
        </w:rPr>
        <w:t>.</w:t>
      </w:r>
    </w:p>
    <w:p w14:paraId="2015B5B0" w14:textId="0EFFD193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FFFAA17" w14:textId="0669E6D5" w:rsidR="00E119D1" w:rsidRDefault="00E119D1" w:rsidP="00E119D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Accepted and in press in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60AFE47E" w14:textId="47039889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5970E11A" w14:textId="687D4880" w:rsidR="00C56D5D" w:rsidRDefault="00C56D5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W., </w:t>
      </w:r>
      <w:r>
        <w:rPr>
          <w:rFonts w:ascii="Times New Roman" w:hAnsi="Times New Roman" w:cs="Times New Roman"/>
        </w:rPr>
        <w:t xml:space="preserve">Dumitru, I.,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, E.</w:t>
      </w:r>
      <w:r>
        <w:rPr>
          <w:rFonts w:ascii="Times New Roman" w:hAnsi="Times New Roman" w:cs="Times New Roman"/>
          <w:b/>
          <w:bCs/>
        </w:rPr>
        <w:t xml:space="preserve"> </w:t>
      </w:r>
      <w:r w:rsidR="00D20619" w:rsidRPr="00D20619">
        <w:rPr>
          <w:rFonts w:ascii="Times New Roman" w:hAnsi="Times New Roman" w:cs="Times New Roman"/>
        </w:rPr>
        <w:t>The archaeology of Iron Age East Africa from 1-1500 CE: fragmented between classical, historical, and anthropological traditions</w:t>
      </w:r>
      <w:r>
        <w:rPr>
          <w:rFonts w:ascii="Times New Roman" w:hAnsi="Times New Roman" w:cs="Times New Roman"/>
        </w:rPr>
        <w:t xml:space="preserve"> (in prep for</w:t>
      </w:r>
      <w:r w:rsidR="009A3FC4"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  <w:i/>
          <w:iCs/>
        </w:rPr>
        <w:t>Azania: Archaeological Research in Africa</w:t>
      </w:r>
      <w:r>
        <w:rPr>
          <w:rFonts w:ascii="Times New Roman" w:hAnsi="Times New Roman" w:cs="Times New Roman"/>
        </w:rPr>
        <w:t>).</w:t>
      </w:r>
    </w:p>
    <w:p w14:paraId="77F425C4" w14:textId="77777777" w:rsidR="00F53D9D" w:rsidRDefault="00F53D9D" w:rsidP="00F53D9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54438C22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</w:t>
      </w:r>
      <w:r w:rsidR="00BF45E4">
        <w:rPr>
          <w:rFonts w:ascii="Times New Roman" w:hAnsi="Times New Roman" w:cs="Times New Roman"/>
        </w:rPr>
        <w:t>niversity of California, Los Angeles</w:t>
      </w:r>
    </w:p>
    <w:p w14:paraId="16C37B92" w14:textId="1E3444B5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47FC0320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1936352C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>Field archaeologist,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Ukuu,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Acabado,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Mjema.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Default="00B77364" w:rsidP="00B77364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Moderator for the session “Means of Movement, in the ISAW Graduate Student Conference, Itinerancy and Agency Across the Ancient World. NYU.</w:t>
      </w:r>
    </w:p>
    <w:p w14:paraId="0E8ED611" w14:textId="462CE8F0" w:rsidR="00CB2938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2025</w:t>
      </w:r>
      <w:r>
        <w:rPr>
          <w:rFonts w:ascii="Times New Roman" w:eastAsia="Calibri" w:hAnsi="Times New Roman"/>
        </w:rPr>
        <w:tab/>
        <w:t xml:space="preserve">East Africa and Indian Ocean Trade. Discussant in the </w:t>
      </w:r>
      <w:r w:rsidRPr="00CB2938">
        <w:rPr>
          <w:rFonts w:ascii="Times New Roman" w:eastAsia="Calibri" w:hAnsi="Times New Roman"/>
          <w:i/>
          <w:iCs/>
        </w:rPr>
        <w:t>Interconnected Seminar</w:t>
      </w:r>
      <w:r>
        <w:rPr>
          <w:rFonts w:ascii="Times New Roman" w:eastAsia="Calibri" w:hAnsi="Times New Roman"/>
        </w:rPr>
        <w:t xml:space="preserve"> at the Institute for the Study of the Ancient World, NYU.</w:t>
      </w:r>
    </w:p>
    <w:p w14:paraId="131336D0" w14:textId="06FC0D17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Moderator for the panel “Abdulrazak Gurna’s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>Dept. of African and African-American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Kibondeni,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Kimambo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7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5FE91F04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49508613" w14:textId="74D15E06" w:rsidR="0057179D" w:rsidRDefault="0057179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Review, journal article, Archaeological Prospection</w:t>
      </w:r>
    </w:p>
    <w:p w14:paraId="67D0E099" w14:textId="1D9A7393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48462" w14:textId="77777777" w:rsidR="00C14F91" w:rsidRDefault="00C14F91" w:rsidP="006E1D5E">
      <w:pPr>
        <w:spacing w:after="0" w:line="240" w:lineRule="auto"/>
      </w:pPr>
      <w:r>
        <w:separator/>
      </w:r>
    </w:p>
  </w:endnote>
  <w:endnote w:type="continuationSeparator" w:id="0">
    <w:p w14:paraId="68E880A1" w14:textId="77777777" w:rsidR="00C14F91" w:rsidRDefault="00C14F91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CFDC5" w14:textId="77777777" w:rsidR="00C14F91" w:rsidRDefault="00C14F91" w:rsidP="006E1D5E">
      <w:pPr>
        <w:spacing w:after="0" w:line="240" w:lineRule="auto"/>
      </w:pPr>
      <w:r>
        <w:separator/>
      </w:r>
    </w:p>
  </w:footnote>
  <w:footnote w:type="continuationSeparator" w:id="0">
    <w:p w14:paraId="59FF24A9" w14:textId="77777777" w:rsidR="00C14F91" w:rsidRDefault="00C14F91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5184B"/>
    <w:rsid w:val="00062795"/>
    <w:rsid w:val="0007358C"/>
    <w:rsid w:val="00081461"/>
    <w:rsid w:val="000829B9"/>
    <w:rsid w:val="00086FB3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45F14"/>
    <w:rsid w:val="00167CDE"/>
    <w:rsid w:val="00170802"/>
    <w:rsid w:val="001764D1"/>
    <w:rsid w:val="001765DE"/>
    <w:rsid w:val="0018365A"/>
    <w:rsid w:val="0019141E"/>
    <w:rsid w:val="001A75D3"/>
    <w:rsid w:val="001B2DCE"/>
    <w:rsid w:val="001B3E06"/>
    <w:rsid w:val="001B5E41"/>
    <w:rsid w:val="001B7697"/>
    <w:rsid w:val="001C0D26"/>
    <w:rsid w:val="001D4A6A"/>
    <w:rsid w:val="001E5406"/>
    <w:rsid w:val="001E65A4"/>
    <w:rsid w:val="00211BE1"/>
    <w:rsid w:val="002145ED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F519A"/>
    <w:rsid w:val="002F5F6B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511A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5650"/>
    <w:rsid w:val="00456085"/>
    <w:rsid w:val="00466ED2"/>
    <w:rsid w:val="00473EEC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04CF2"/>
    <w:rsid w:val="00511AF8"/>
    <w:rsid w:val="005202D9"/>
    <w:rsid w:val="0052300F"/>
    <w:rsid w:val="0052788E"/>
    <w:rsid w:val="00527DDD"/>
    <w:rsid w:val="00543663"/>
    <w:rsid w:val="00544147"/>
    <w:rsid w:val="00547091"/>
    <w:rsid w:val="00551EDA"/>
    <w:rsid w:val="00552E84"/>
    <w:rsid w:val="00564E96"/>
    <w:rsid w:val="0057179D"/>
    <w:rsid w:val="005803F2"/>
    <w:rsid w:val="00580960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56EF"/>
    <w:rsid w:val="00686006"/>
    <w:rsid w:val="00692A8D"/>
    <w:rsid w:val="006964B0"/>
    <w:rsid w:val="006A1DC6"/>
    <w:rsid w:val="006A324C"/>
    <w:rsid w:val="006A6C30"/>
    <w:rsid w:val="006B75FD"/>
    <w:rsid w:val="006D18DD"/>
    <w:rsid w:val="006D6F8F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11C5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7C4DFB"/>
    <w:rsid w:val="007F1D22"/>
    <w:rsid w:val="00804756"/>
    <w:rsid w:val="00804BA7"/>
    <w:rsid w:val="0081229B"/>
    <w:rsid w:val="00813888"/>
    <w:rsid w:val="00824AD3"/>
    <w:rsid w:val="00830A63"/>
    <w:rsid w:val="00842EF8"/>
    <w:rsid w:val="008441B0"/>
    <w:rsid w:val="0086055E"/>
    <w:rsid w:val="00870D8F"/>
    <w:rsid w:val="008A0250"/>
    <w:rsid w:val="008A4D4D"/>
    <w:rsid w:val="008C05B4"/>
    <w:rsid w:val="008C2D54"/>
    <w:rsid w:val="008C5037"/>
    <w:rsid w:val="008D46EE"/>
    <w:rsid w:val="008E635F"/>
    <w:rsid w:val="008F1E39"/>
    <w:rsid w:val="008F2CE6"/>
    <w:rsid w:val="008F3FFC"/>
    <w:rsid w:val="008F4B73"/>
    <w:rsid w:val="008F6E14"/>
    <w:rsid w:val="00903438"/>
    <w:rsid w:val="00917B01"/>
    <w:rsid w:val="00926942"/>
    <w:rsid w:val="00936DAF"/>
    <w:rsid w:val="00943D15"/>
    <w:rsid w:val="00945B88"/>
    <w:rsid w:val="00966158"/>
    <w:rsid w:val="00972A1B"/>
    <w:rsid w:val="0097343A"/>
    <w:rsid w:val="0098084D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4CCA"/>
    <w:rsid w:val="00A46F9F"/>
    <w:rsid w:val="00A61BA4"/>
    <w:rsid w:val="00A64C5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0CBF"/>
    <w:rsid w:val="00B333C6"/>
    <w:rsid w:val="00B44599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BF45E4"/>
    <w:rsid w:val="00C02F9E"/>
    <w:rsid w:val="00C053CF"/>
    <w:rsid w:val="00C07637"/>
    <w:rsid w:val="00C14F91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D0641"/>
    <w:rsid w:val="00CD5461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21B69"/>
    <w:rsid w:val="00E3328B"/>
    <w:rsid w:val="00E34FDD"/>
    <w:rsid w:val="00E5090E"/>
    <w:rsid w:val="00E60BCB"/>
    <w:rsid w:val="00E6593D"/>
    <w:rsid w:val="00E67A6E"/>
    <w:rsid w:val="00E7215F"/>
    <w:rsid w:val="00E81BA4"/>
    <w:rsid w:val="00E82B16"/>
    <w:rsid w:val="00E93016"/>
    <w:rsid w:val="00E9302F"/>
    <w:rsid w:val="00E97410"/>
    <w:rsid w:val="00EA6272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38D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750C5"/>
    <w:rsid w:val="00F750C7"/>
    <w:rsid w:val="00F808C9"/>
    <w:rsid w:val="00F8212B"/>
    <w:rsid w:val="00F90FEE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doi:10.7910/DVN/BA4V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ndeley.com/drafts/k7fnj5ks6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7</Pages>
  <Words>3141</Words>
  <Characters>17908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273</cp:revision>
  <dcterms:created xsi:type="dcterms:W3CDTF">2023-09-22T17:18:00Z</dcterms:created>
  <dcterms:modified xsi:type="dcterms:W3CDTF">2025-08-25T20:43:00Z</dcterms:modified>
</cp:coreProperties>
</file>