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DA5C" w14:textId="36841913" w:rsidR="00131B15" w:rsidRDefault="00CF710A">
      <w:r>
        <w:t>Planning consultant Fidelity Investments</w:t>
      </w:r>
    </w:p>
    <w:p w14:paraId="04C2B16B" w14:textId="3B1A5276" w:rsidR="00CF710A" w:rsidRDefault="00FB461E">
      <w:r>
        <w:t>Copilot and ChatGPT</w:t>
      </w:r>
    </w:p>
    <w:p w14:paraId="458AD39E" w14:textId="351881B9" w:rsidR="00FB461E" w:rsidRDefault="00FB461E">
      <w:r>
        <w:t>I chose Copilot because Weatherford College provides access to it, and it is a trusted source. Along with Chet GPT as I have the most experience with chat GPT</w:t>
      </w:r>
    </w:p>
    <w:p w14:paraId="08356675" w14:textId="1EFE04BD" w:rsidR="00FB461E" w:rsidRPr="00A64E97" w:rsidRDefault="002A751A" w:rsidP="00A64E97">
      <w:pPr>
        <w:pStyle w:val="ListParagraph"/>
        <w:numPr>
          <w:ilvl w:val="0"/>
          <w:numId w:val="49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Copilot</w:t>
      </w:r>
    </w:p>
    <w:p w14:paraId="23691559" w14:textId="77777777" w:rsidR="002A751A" w:rsidRPr="002A751A" w:rsidRDefault="002A751A" w:rsidP="002A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Here’s a comprehensive </w:t>
      </w: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SWOT analysis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 for </w:t>
      </w: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Fidelity Investments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, one of the largest and most influential investment firms in the United States </w:t>
      </w:r>
      <w:r w:rsidRPr="002A751A">
        <w:rPr>
          <w:rFonts w:ascii="Segoe UI Emoji" w:eastAsia="Times New Roman" w:hAnsi="Segoe UI Emoji" w:cs="Segoe UI Emoji"/>
          <w:sz w:val="18"/>
          <w:szCs w:val="18"/>
        </w:rPr>
        <w:t>🇺🇸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1164C6D6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🟩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Strengths</w:t>
      </w:r>
    </w:p>
    <w:p w14:paraId="622CA880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Strong Brand Recognition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Fidelity ranks in the top 3% of investment firms for brand trust and recognition, serving over 25 million individual investors.</w:t>
      </w:r>
    </w:p>
    <w:p w14:paraId="66492F82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Diverse Product Portfolio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Offers a wide range of services including brokerage, mutual funds, retirement planning, ETFs, wealth management, and even crypto-related products like Bitcoin funds.</w:t>
      </w:r>
    </w:p>
    <w:p w14:paraId="20B0757B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Robust Financial Performance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Reported revenues of $23 billion in 2022, up from $20 billion in 2021.</w:t>
      </w:r>
    </w:p>
    <w:p w14:paraId="2C97AEB3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Advanced Technology Infrastructure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Invests over $1 billion annually in platform enhancements, supporting over 1.4 billion trades in 2022.</w:t>
      </w:r>
    </w:p>
    <w:p w14:paraId="5215D9A6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Research Capabilities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Employs more than 1,200 research analysts, providing deep market insights and investment strategies.</w:t>
      </w:r>
    </w:p>
    <w:p w14:paraId="2B4BA03B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Customer Satisfaction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Scored 835/1000 in JD Power’s 2023 U.S. Investor Satisfaction Study, exceeding industry averages.</w:t>
      </w:r>
    </w:p>
    <w:p w14:paraId="0F4EB2A1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🟨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Weaknesses</w:t>
      </w:r>
    </w:p>
    <w:p w14:paraId="592790FF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Limited Global Presence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Fidelity’s operations are heavily concentrated in the U.S., which may limit its exposure to international growth opportunities.</w:t>
      </w:r>
    </w:p>
    <w:p w14:paraId="5DF25D8D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Complex Product Offering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The breadth of services can be overwhelming for new or less experienced investors.</w:t>
      </w:r>
    </w:p>
    <w:p w14:paraId="35FBDF09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Dependence on Market Conditions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As with most investment firms, Fidelity’s performance is closely tied to market volatility and economic cycles.</w:t>
      </w:r>
    </w:p>
    <w:p w14:paraId="1AA83CEE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🟦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Opportunities</w:t>
      </w:r>
    </w:p>
    <w:p w14:paraId="43363613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Expansion into Emerging Markets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Growing demand for investment services in Asia, Africa, and Latin America presents expansion potential.</w:t>
      </w:r>
    </w:p>
    <w:p w14:paraId="11C558E9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Sustainable &amp; ESG Investing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Rising interest in ethical and sustainable investment products could allow Fidelity to innovate and lead in this space.</w:t>
      </w:r>
    </w:p>
    <w:p w14:paraId="5AF0AC99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Digital Transformation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: Continued investment in AI, </w:t>
      </w:r>
      <w:proofErr w:type="spellStart"/>
      <w:r w:rsidRPr="002A751A">
        <w:rPr>
          <w:rFonts w:ascii="Times New Roman" w:eastAsia="Times New Roman" w:hAnsi="Times New Roman" w:cs="Times New Roman"/>
          <w:sz w:val="18"/>
          <w:szCs w:val="18"/>
        </w:rPr>
        <w:t>robo</w:t>
      </w:r>
      <w:proofErr w:type="spellEnd"/>
      <w:r w:rsidRPr="002A751A">
        <w:rPr>
          <w:rFonts w:ascii="Times New Roman" w:eastAsia="Times New Roman" w:hAnsi="Times New Roman" w:cs="Times New Roman"/>
          <w:sz w:val="18"/>
          <w:szCs w:val="18"/>
        </w:rPr>
        <w:t>-advisors, and mobile platforms can attract younger, tech-savvy investors.</w:t>
      </w:r>
    </w:p>
    <w:p w14:paraId="5E1A4E22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Retirement Planning Boom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Aging populations in the U.S. and abroad are increasing demand for retirement-focused financial products.</w:t>
      </w:r>
    </w:p>
    <w:p w14:paraId="3234656A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🟥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Threats</w:t>
      </w:r>
    </w:p>
    <w:p w14:paraId="1F235F0A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Intense Competition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Faces strong competition from Vanguard, Charles Schwab, and newer fintech disruptors like Robinhood.</w:t>
      </w:r>
    </w:p>
    <w:p w14:paraId="2B01B9B5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Regulatory Changes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Financial regulations are evolving rapidly, especially around crypto and ESG disclosures, which could impact operations.</w:t>
      </w:r>
    </w:p>
    <w:p w14:paraId="7C3E1BA2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Cybersecurity Risks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As a digital-first financial firm, Fidelity is exposed to potential data breaches and cyberattacks.</w:t>
      </w:r>
    </w:p>
    <w:p w14:paraId="75B70F9B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Economic Uncertainty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Inflation, interest rate fluctuations, and geopolitical tensions can affect investor behavior and asset performance.</w:t>
      </w:r>
    </w:p>
    <w:p w14:paraId="12087FFC" w14:textId="5A45C65E" w:rsidR="002A751A" w:rsidRPr="00A64E97" w:rsidRDefault="002A751A" w:rsidP="00A64E97">
      <w:pPr>
        <w:pStyle w:val="ListParagraph"/>
        <w:numPr>
          <w:ilvl w:val="0"/>
          <w:numId w:val="48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Chat GPT</w:t>
      </w:r>
    </w:p>
    <w:p w14:paraId="17659268" w14:textId="77777777" w:rsidR="002A751A" w:rsidRPr="00663BD6" w:rsidRDefault="002A751A" w:rsidP="002A751A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SWOT analysis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>, based on recent data and trends. If you want, I can also pull in more up</w:t>
      </w:r>
      <w:r w:rsidRPr="00663BD6">
        <w:rPr>
          <w:sz w:val="18"/>
          <w:szCs w:val="18"/>
        </w:rPr>
        <w:noBreakHyphen/>
        <w:t>to</w:t>
      </w:r>
      <w:r w:rsidRPr="00663BD6">
        <w:rPr>
          <w:sz w:val="18"/>
          <w:szCs w:val="18"/>
        </w:rPr>
        <w:noBreakHyphen/>
        <w:t>date items or tailor this to a particular segment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retirement, wealth management, brokerage).</w:t>
      </w:r>
    </w:p>
    <w:p w14:paraId="2EAE65FE" w14:textId="77777777" w:rsidR="002A751A" w:rsidRPr="00663BD6" w:rsidRDefault="002A751A" w:rsidP="002A751A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1E323AF0">
          <v:rect id="_x0000_i1025" style="width:0;height:1.5pt" o:hralign="center" o:hrstd="t" o:hr="t" fillcolor="#a0a0a0" stroked="f"/>
        </w:pict>
      </w:r>
    </w:p>
    <w:p w14:paraId="738B7C50" w14:textId="77777777" w:rsidR="002A751A" w:rsidRPr="00663BD6" w:rsidRDefault="002A751A" w:rsidP="002A751A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SWOT Analysis: Fidelity Investments</w:t>
      </w:r>
    </w:p>
    <w:p w14:paraId="492D0E5C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Strengths</w:t>
      </w:r>
    </w:p>
    <w:p w14:paraId="608CBEA7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Financial Performance &amp; Scale</w:t>
      </w:r>
      <w:r w:rsidRPr="00663BD6">
        <w:rPr>
          <w:sz w:val="18"/>
          <w:szCs w:val="18"/>
        </w:rPr>
        <w:br/>
        <w:t xml:space="preserve">Fidelity has posted record profits, revenue, and growth in assets under management. </w:t>
      </w:r>
      <w:hyperlink r:id="rId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 Street Journal</w:t>
        </w:r>
      </w:hyperlink>
      <w:r w:rsidRPr="00663BD6">
        <w:rPr>
          <w:sz w:val="18"/>
          <w:szCs w:val="18"/>
        </w:rPr>
        <w:t xml:space="preserve"> Its scale gives it clout in negotiating, spreading fixed costs, and investing in innovation.</w:t>
      </w:r>
    </w:p>
    <w:p w14:paraId="127B07B4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Brand Reputation &amp; Trust</w:t>
      </w:r>
      <w:r w:rsidRPr="00663BD6">
        <w:rPr>
          <w:sz w:val="18"/>
          <w:szCs w:val="18"/>
        </w:rPr>
        <w:br/>
        <w:t>Long history, strong brand among retail/institutional investors. Customer</w:t>
      </w:r>
      <w:r w:rsidRPr="00663BD6">
        <w:rPr>
          <w:sz w:val="18"/>
          <w:szCs w:val="18"/>
        </w:rPr>
        <w:noBreakHyphen/>
        <w:t xml:space="preserve">trust is high and helps in retention, especially in volatile markets. </w:t>
      </w:r>
      <w:hyperlink r:id="rId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Investors.com</w:t>
        </w:r>
      </w:hyperlink>
    </w:p>
    <w:p w14:paraId="14E3419C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Breadth of Products &amp; Services</w:t>
      </w:r>
      <w:r w:rsidRPr="00663BD6">
        <w:rPr>
          <w:sz w:val="18"/>
          <w:szCs w:val="18"/>
        </w:rPr>
        <w:br/>
        <w:t xml:space="preserve">Offers mutual funds, ETFs, alternative investments, wealth management, advisory services, retirement services, brokerage, etc. This diversified offering helps reduce dependency on any single revenue stream. </w:t>
      </w:r>
      <w:hyperlink r:id="rId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 Street Journal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D58C081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Infrastructure and Innovation</w:t>
      </w:r>
      <w:r w:rsidRPr="00663BD6">
        <w:rPr>
          <w:sz w:val="18"/>
          <w:szCs w:val="18"/>
        </w:rPr>
        <w:br/>
        <w:t>Fidelity has been investing in its digital platforms, trading tools, mobile apps, enhancement of alternative investment access, etc. It's leveraging technology to improve customer experience and back</w:t>
      </w:r>
      <w:r w:rsidRPr="00663BD6">
        <w:rPr>
          <w:sz w:val="18"/>
          <w:szCs w:val="18"/>
        </w:rPr>
        <w:noBreakHyphen/>
        <w:t xml:space="preserve">office efficiencies. </w:t>
      </w:r>
      <w:hyperlink r:id="rId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+2</w:t>
        </w:r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+2</w:t>
        </w:r>
      </w:hyperlink>
    </w:p>
    <w:p w14:paraId="00DE15F8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Ability to Respond to Market Trends</w:t>
      </w:r>
      <w:r w:rsidRPr="00663BD6">
        <w:rPr>
          <w:sz w:val="18"/>
          <w:szCs w:val="18"/>
        </w:rPr>
        <w:br/>
        <w:t xml:space="preserve">For example, increasing its ETF and alternative investment offerings, model portfolios for advisors, etc. </w:t>
      </w:r>
      <w:hyperlink r:id="rId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2FD7D5E" w14:textId="77777777" w:rsidR="002A751A" w:rsidRPr="00663BD6" w:rsidRDefault="002A751A" w:rsidP="002A751A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080BB985">
          <v:rect id="_x0000_i1026" style="width:0;height:1.5pt" o:hralign="center" o:hrstd="t" o:hr="t" fillcolor="#a0a0a0" stroked="f"/>
        </w:pict>
      </w:r>
    </w:p>
    <w:p w14:paraId="31BF7AC8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Weaknesses</w:t>
      </w:r>
    </w:p>
    <w:p w14:paraId="19D624B9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Costs on Some Actively Managed Funds</w:t>
      </w:r>
      <w:r w:rsidRPr="00663BD6">
        <w:rPr>
          <w:sz w:val="18"/>
          <w:szCs w:val="18"/>
        </w:rPr>
        <w:br/>
        <w:t>Some of Fidelity’s active funds have higher expense ratios compared to many passive options, which may turn off cost</w:t>
      </w:r>
      <w:r w:rsidRPr="00663BD6">
        <w:rPr>
          <w:sz w:val="18"/>
          <w:szCs w:val="18"/>
        </w:rPr>
        <w:noBreakHyphen/>
        <w:t xml:space="preserve">sensitive investors. </w:t>
      </w:r>
      <w:hyperlink r:id="rId1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74B8D6C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Complex Product/Platform Overload</w:t>
      </w:r>
      <w:r w:rsidRPr="00663BD6">
        <w:rPr>
          <w:sz w:val="18"/>
          <w:szCs w:val="18"/>
        </w:rPr>
        <w:br/>
        <w:t xml:space="preserve">The wide variety of products and tools, while a strength, can also cause confusion, especially for newer or less sophisticated investors. Too many choices or information overload can reduce usability. </w:t>
      </w:r>
      <w:hyperlink r:id="rId1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87D3543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&amp; UX Issues</w:t>
      </w:r>
      <w:r w:rsidRPr="00663BD6">
        <w:rPr>
          <w:sz w:val="18"/>
          <w:szCs w:val="18"/>
        </w:rPr>
        <w:br/>
        <w:t xml:space="preserve">There are reports/complaints about inconsistent customer service, technical glitches, platform outages, or difficulty in resolving issues. These degrade trust and could lead to customer churn. </w:t>
      </w:r>
      <w:hyperlink r:id="rId1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6711AB1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Limited International Presence</w:t>
      </w:r>
      <w:r w:rsidRPr="00663BD6">
        <w:rPr>
          <w:sz w:val="18"/>
          <w:szCs w:val="18"/>
        </w:rPr>
        <w:br/>
        <w:t xml:space="preserve">Compared to some competitors, Fidelity is more U.S.-focused. That limits exposure to growth in emerging markets or diversification of revenue sources. </w:t>
      </w:r>
      <w:hyperlink r:id="rId1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2C19B97D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Risks &amp; Regulatory Compliance Burden</w:t>
      </w:r>
      <w:r w:rsidRPr="00663BD6">
        <w:rPr>
          <w:sz w:val="18"/>
          <w:szCs w:val="18"/>
        </w:rPr>
        <w:br/>
        <w:t xml:space="preserve">As a large financial institution with digital platforms, the risk of data breaches, cybersecurity threats </w:t>
      </w:r>
      <w:proofErr w:type="gramStart"/>
      <w:r w:rsidRPr="00663BD6">
        <w:rPr>
          <w:sz w:val="18"/>
          <w:szCs w:val="18"/>
        </w:rPr>
        <w:t>is</w:t>
      </w:r>
      <w:proofErr w:type="gramEnd"/>
      <w:r w:rsidRPr="00663BD6">
        <w:rPr>
          <w:sz w:val="18"/>
          <w:szCs w:val="18"/>
        </w:rPr>
        <w:t xml:space="preserve"> high. Also, keeping up with evolving financial regulations (SEC, state/federal) is expensive and complex. </w:t>
      </w:r>
      <w:hyperlink r:id="rId1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71EDCB4C" w14:textId="77777777" w:rsidR="002A751A" w:rsidRPr="00663BD6" w:rsidRDefault="002A751A" w:rsidP="002A751A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44D8DCDD">
          <v:rect id="_x0000_i1027" style="width:0;height:1.5pt" o:hralign="center" o:hrstd="t" o:hr="t" fillcolor="#a0a0a0" stroked="f"/>
        </w:pict>
      </w:r>
    </w:p>
    <w:p w14:paraId="4A9D091C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Opportunities</w:t>
      </w:r>
    </w:p>
    <w:p w14:paraId="05736399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Growth in ESG / Sustainable Investing</w:t>
      </w:r>
      <w:r w:rsidRPr="00663BD6">
        <w:rPr>
          <w:sz w:val="18"/>
          <w:szCs w:val="18"/>
        </w:rPr>
        <w:br/>
        <w:t>Investors are increasingly interested in ESG, socially responsible investing. There’s opportunity to develop more ESG</w:t>
      </w:r>
      <w:r w:rsidRPr="00663BD6">
        <w:rPr>
          <w:sz w:val="18"/>
          <w:szCs w:val="18"/>
        </w:rPr>
        <w:noBreakHyphen/>
        <w:t xml:space="preserve">aligned products and integrate sustainability into regular offerings. </w:t>
      </w:r>
      <w:hyperlink r:id="rId1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6C091B1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of Alternative Investments &amp; Model Portfolios</w:t>
      </w:r>
      <w:r w:rsidRPr="00663BD6">
        <w:rPr>
          <w:sz w:val="18"/>
          <w:szCs w:val="18"/>
        </w:rPr>
        <w:br/>
        <w:t>As seen, Fidelity is adding more alternative investments (private equity, private credit etc.), especially in model portfolios. That’s an area of growing demand among institutional and high</w:t>
      </w:r>
      <w:r w:rsidRPr="00663BD6">
        <w:rPr>
          <w:sz w:val="18"/>
          <w:szCs w:val="18"/>
        </w:rPr>
        <w:noBreakHyphen/>
        <w:t>net</w:t>
      </w:r>
      <w:r w:rsidRPr="00663BD6">
        <w:rPr>
          <w:sz w:val="18"/>
          <w:szCs w:val="18"/>
        </w:rPr>
        <w:noBreakHyphen/>
        <w:t xml:space="preserve">worth investors. </w:t>
      </w:r>
      <w:hyperlink r:id="rId1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</w:hyperlink>
    </w:p>
    <w:p w14:paraId="14A1F41E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Technology / Digital Innovation</w:t>
      </w:r>
      <w:r w:rsidRPr="00663BD6">
        <w:rPr>
          <w:sz w:val="18"/>
          <w:szCs w:val="18"/>
        </w:rPr>
        <w:br/>
        <w:t xml:space="preserve">More advanced digital tools (AI, automation, better UX), mobile and online services can help attract younger investors and create efficiencies. Also potential in using AI for personalization,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 xml:space="preserve">/advisory hybrid models. </w:t>
      </w:r>
      <w:hyperlink r:id="rId1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241EDAF2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Growing Demand for Financial Advice / Wealth Management</w:t>
      </w:r>
      <w:r w:rsidRPr="00663BD6">
        <w:rPr>
          <w:sz w:val="18"/>
          <w:szCs w:val="18"/>
        </w:rPr>
        <w:br/>
        <w:t>As populations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aging, or people nearing retirement) need more advice, planning, and retirement services, there’s opportunity to expand advisory or managed wealth offerings.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for employer retirement plans.</w:t>
      </w:r>
    </w:p>
    <w:p w14:paraId="4EC24AA8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International Growth</w:t>
      </w:r>
      <w:r w:rsidRPr="00663BD6">
        <w:rPr>
          <w:sz w:val="18"/>
          <w:szCs w:val="18"/>
        </w:rPr>
        <w:br/>
        <w:t>Opportunity to expand into markets with rising investor demand, or offer cross</w:t>
      </w:r>
      <w:r w:rsidRPr="00663BD6">
        <w:rPr>
          <w:sz w:val="18"/>
          <w:szCs w:val="18"/>
        </w:rPr>
        <w:noBreakHyphen/>
        <w:t>border services, especially with growing wealth in many regions outside the U.S.</w:t>
      </w:r>
    </w:p>
    <w:p w14:paraId="0EB6F995" w14:textId="77777777" w:rsidR="002A751A" w:rsidRPr="00663BD6" w:rsidRDefault="002A751A" w:rsidP="002A751A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4E9DD0F1">
          <v:rect id="_x0000_i1028" style="width:0;height:1.5pt" o:hralign="center" o:hrstd="t" o:hr="t" fillcolor="#a0a0a0" stroked="f"/>
        </w:pict>
      </w:r>
    </w:p>
    <w:p w14:paraId="1C9187D9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Threats</w:t>
      </w:r>
    </w:p>
    <w:p w14:paraId="16154496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Intense Competition</w:t>
      </w:r>
      <w:r w:rsidRPr="00663BD6">
        <w:rPr>
          <w:sz w:val="18"/>
          <w:szCs w:val="18"/>
        </w:rPr>
        <w:br/>
        <w:t xml:space="preserve">Competition from other major asset managers (Vanguard, BlackRock, etc.), fintech firms,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 xml:space="preserve">advisors, discount brokers. Pressure on fees, product innovation, ease of use. </w:t>
      </w:r>
      <w:hyperlink r:id="rId1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8F4DD2C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 / Shift to Passive Investing</w:t>
      </w:r>
      <w:r w:rsidRPr="00663BD6">
        <w:rPr>
          <w:sz w:val="18"/>
          <w:szCs w:val="18"/>
        </w:rPr>
        <w:br/>
        <w:t>Passive investing, index funds, ETFs continue to grow in popularity because of lower costs. This threatens revenue from higher</w:t>
      </w:r>
      <w:r w:rsidRPr="00663BD6">
        <w:rPr>
          <w:sz w:val="18"/>
          <w:szCs w:val="18"/>
        </w:rPr>
        <w:noBreakHyphen/>
        <w:t xml:space="preserve">margin active funds if Fidelity can’t demonstrate value. </w:t>
      </w:r>
      <w:hyperlink r:id="rId1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74D5C10A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&amp; Legal Risks</w:t>
      </w:r>
      <w:r w:rsidRPr="00663BD6">
        <w:rPr>
          <w:sz w:val="18"/>
          <w:szCs w:val="18"/>
        </w:rPr>
        <w:br/>
        <w:t xml:space="preserve">Regulations are constantly evolving. Penalties, compliance costs, oversight, fiduciary requirements, disclosure rules, cybersecurity/ data privacy laws can all impose costs.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lawsuits/arbitrations (e.g. for mis</w:t>
      </w:r>
      <w:r w:rsidRPr="00663BD6">
        <w:rPr>
          <w:sz w:val="18"/>
          <w:szCs w:val="18"/>
        </w:rPr>
        <w:noBreakHyphen/>
        <w:t xml:space="preserve">supervision of advisors) can damage reputation and finances. </w:t>
      </w:r>
      <w:hyperlink r:id="rId2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</w:hyperlink>
    </w:p>
    <w:p w14:paraId="475B9797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&amp; Economic Downturns</w:t>
      </w:r>
      <w:r w:rsidRPr="00663BD6">
        <w:rPr>
          <w:sz w:val="18"/>
          <w:szCs w:val="18"/>
        </w:rPr>
        <w:br/>
        <w:t>Since a lot of revenue depends on asset values under management (AUM), adverse market conditions reduce fees, reduce investment and trading activity. Interest rate fluctuations also affect fixed income returns, borrowing costs.</w:t>
      </w:r>
    </w:p>
    <w:p w14:paraId="1FD3588B" w14:textId="415AF002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Disruption &amp; Cyber Threats</w:t>
      </w:r>
      <w:r w:rsidRPr="00663BD6">
        <w:rPr>
          <w:sz w:val="18"/>
          <w:szCs w:val="18"/>
        </w:rPr>
        <w:br/>
        <w:t xml:space="preserve">Fast pace of change means risk of being disrupted by new technologies, or fintech startups that do things differently.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the ever</w:t>
      </w:r>
      <w:r w:rsidRPr="00663BD6">
        <w:rPr>
          <w:sz w:val="18"/>
          <w:szCs w:val="18"/>
        </w:rPr>
        <w:noBreakHyphen/>
        <w:t>present risk of cyberattacks/data breaches undermining trust.</w:t>
      </w:r>
    </w:p>
    <w:p w14:paraId="58B64A34" w14:textId="5C4329F0" w:rsidR="002A751A" w:rsidRPr="00663BD6" w:rsidRDefault="002A751A" w:rsidP="002A751A">
      <w:pPr>
        <w:pStyle w:val="NormalWeb"/>
        <w:rPr>
          <w:b/>
          <w:bCs/>
          <w:sz w:val="28"/>
          <w:szCs w:val="28"/>
        </w:rPr>
      </w:pPr>
      <w:r w:rsidRPr="00663BD6">
        <w:rPr>
          <w:b/>
          <w:bCs/>
          <w:sz w:val="28"/>
          <w:szCs w:val="28"/>
        </w:rPr>
        <w:t>Comparison and analysis</w:t>
      </w:r>
    </w:p>
    <w:p w14:paraId="41D7F55E" w14:textId="6A39FCE4" w:rsidR="002A751A" w:rsidRPr="00663BD6" w:rsidRDefault="00DD2D36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>Chat GPT was strong</w:t>
      </w:r>
      <w:r w:rsidR="00976014" w:rsidRPr="00663BD6">
        <w:rPr>
          <w:sz w:val="18"/>
          <w:szCs w:val="18"/>
        </w:rPr>
        <w:t xml:space="preserve"> in citations and multiple sources. Comparatively, Copilot focused on readability.</w:t>
      </w:r>
    </w:p>
    <w:p w14:paraId="4DA7B2AF" w14:textId="519DFBA8" w:rsidR="00976014" w:rsidRPr="00663BD6" w:rsidRDefault="00976014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>Chat GPT was analytical, Copilot was conversational</w:t>
      </w:r>
    </w:p>
    <w:p w14:paraId="34CC3CD7" w14:textId="46530CC5" w:rsidR="00976014" w:rsidRPr="00663BD6" w:rsidRDefault="00C56086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Chat GPT version would be most utilized </w:t>
      </w:r>
      <w:proofErr w:type="gramStart"/>
      <w:r w:rsidRPr="00663BD6">
        <w:rPr>
          <w:sz w:val="18"/>
          <w:szCs w:val="18"/>
        </w:rPr>
        <w:t>For</w:t>
      </w:r>
      <w:proofErr w:type="gramEnd"/>
      <w:r w:rsidRPr="00663BD6">
        <w:rPr>
          <w:sz w:val="18"/>
          <w:szCs w:val="18"/>
        </w:rPr>
        <w:t xml:space="preserve"> someone to use it for outsourcing. Copilot’s version is ready for presentation and has a lot of human-like tone.</w:t>
      </w:r>
    </w:p>
    <w:p w14:paraId="7B1DCBF6" w14:textId="604ACB0D" w:rsidR="00C56086" w:rsidRDefault="00C56086" w:rsidP="00C56086">
      <w:pPr>
        <w:rPr>
          <w:sz w:val="24"/>
          <w:szCs w:val="24"/>
        </w:rPr>
      </w:pPr>
    </w:p>
    <w:p w14:paraId="305CAE2E" w14:textId="2538CD3F" w:rsidR="00C56086" w:rsidRPr="00A64E97" w:rsidRDefault="00C56086" w:rsidP="00A64E97">
      <w:pPr>
        <w:pStyle w:val="ListParagraph"/>
        <w:numPr>
          <w:ilvl w:val="0"/>
          <w:numId w:val="47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</w:t>
      </w:r>
      <w:r w:rsidR="00B72D51" w:rsidRPr="00A64E97">
        <w:rPr>
          <w:b/>
          <w:bCs/>
          <w:sz w:val="36"/>
          <w:szCs w:val="36"/>
        </w:rPr>
        <w:t>1 #1</w:t>
      </w:r>
      <w:r w:rsidRPr="00A64E97">
        <w:rPr>
          <w:b/>
          <w:bCs/>
          <w:sz w:val="36"/>
          <w:szCs w:val="36"/>
        </w:rPr>
        <w:t xml:space="preserve"> Copilot</w:t>
      </w:r>
    </w:p>
    <w:p w14:paraId="6FCE499D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focused and example-rich </w:t>
      </w:r>
      <w:r w:rsidRPr="00663BD6">
        <w:rPr>
          <w:rStyle w:val="Strong"/>
          <w:sz w:val="18"/>
          <w:szCs w:val="18"/>
        </w:rPr>
        <w:t>SWOT analysis</w:t>
      </w:r>
      <w:r w:rsidRPr="00663BD6">
        <w:rPr>
          <w:sz w:val="18"/>
          <w:szCs w:val="18"/>
        </w:rPr>
        <w:t xml:space="preserve">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, emphasizing its </w:t>
      </w:r>
      <w:r w:rsidRPr="00663BD6">
        <w:rPr>
          <w:rStyle w:val="Strong"/>
          <w:sz w:val="18"/>
          <w:szCs w:val="18"/>
        </w:rPr>
        <w:t>market position</w:t>
      </w:r>
      <w:r w:rsidRPr="00663BD6">
        <w:rPr>
          <w:sz w:val="18"/>
          <w:szCs w:val="18"/>
        </w:rPr>
        <w:t xml:space="preserve"> as a leading U.S.-based investment firm:</w:t>
      </w:r>
    </w:p>
    <w:p w14:paraId="57EAFD54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🟩</w:t>
      </w:r>
      <w:r w:rsidRPr="00663BD6">
        <w:rPr>
          <w:sz w:val="20"/>
          <w:szCs w:val="20"/>
        </w:rPr>
        <w:t xml:space="preserve"> Strengths</w:t>
      </w:r>
    </w:p>
    <w:p w14:paraId="6D05571B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Dominant Market Share in Retail Investing</w:t>
      </w:r>
    </w:p>
    <w:p w14:paraId="00EB8D9D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 xml:space="preserve">Fidelity manages over </w:t>
      </w:r>
      <w:r w:rsidRPr="00663BD6">
        <w:rPr>
          <w:rStyle w:val="Strong"/>
          <w:sz w:val="18"/>
          <w:szCs w:val="18"/>
        </w:rPr>
        <w:t>$4.3 trillion in customer assets</w:t>
      </w:r>
      <w:r w:rsidRPr="00663BD6">
        <w:rPr>
          <w:sz w:val="18"/>
          <w:szCs w:val="18"/>
        </w:rPr>
        <w:t xml:space="preserve"> as of 2023, making it one of the largest investment firms in the U.S.</w:t>
      </w:r>
    </w:p>
    <w:p w14:paraId="67A47B9A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Serves </w:t>
      </w:r>
      <w:r w:rsidRPr="00663BD6">
        <w:rPr>
          <w:rStyle w:val="Strong"/>
          <w:sz w:val="18"/>
          <w:szCs w:val="18"/>
        </w:rPr>
        <w:t>25+ million individual investors</w:t>
      </w:r>
      <w:r w:rsidRPr="00663BD6">
        <w:rPr>
          <w:sz w:val="18"/>
          <w:szCs w:val="18"/>
        </w:rPr>
        <w:t>, ranking in the top 3% for brand trust.</w:t>
      </w:r>
    </w:p>
    <w:p w14:paraId="2C26AC4C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Broad Product Ecosystem</w:t>
      </w:r>
    </w:p>
    <w:p w14:paraId="62ACAD62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Offers mutual funds, ETFs, retirement plans, brokerage services, wealth management, and alternative investments.</w:t>
      </w:r>
    </w:p>
    <w:p w14:paraId="15847746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In 2023, Fidelity launched </w:t>
      </w:r>
      <w:r w:rsidRPr="00663BD6">
        <w:rPr>
          <w:rStyle w:val="Strong"/>
          <w:sz w:val="18"/>
          <w:szCs w:val="18"/>
        </w:rPr>
        <w:t>30 new ETFs</w:t>
      </w:r>
      <w:r w:rsidRPr="00663BD6">
        <w:rPr>
          <w:sz w:val="18"/>
          <w:szCs w:val="18"/>
        </w:rPr>
        <w:t>, expanding its reach into passive investing.</w:t>
      </w:r>
    </w:p>
    <w:p w14:paraId="15E076C6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Brand Reputation</w:t>
      </w:r>
    </w:p>
    <w:p w14:paraId="5F394233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scored </w:t>
      </w:r>
      <w:r w:rsidRPr="00663BD6">
        <w:rPr>
          <w:rStyle w:val="Strong"/>
          <w:sz w:val="18"/>
          <w:szCs w:val="18"/>
        </w:rPr>
        <w:t>835/1000</w:t>
      </w:r>
      <w:r w:rsidRPr="00663BD6">
        <w:rPr>
          <w:sz w:val="18"/>
          <w:szCs w:val="18"/>
        </w:rPr>
        <w:t xml:space="preserve"> in JD Power’s 2023 U.S. Investor Satisfaction Study, surpassing industry averages.</w:t>
      </w:r>
    </w:p>
    <w:p w14:paraId="32AD882D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Long-standing reputation for reliability and innovation in financial services.</w:t>
      </w:r>
    </w:p>
    <w:p w14:paraId="464E0488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Robust Research &amp; Advisory Capabilities</w:t>
      </w:r>
    </w:p>
    <w:p w14:paraId="3A10BB9C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Employs </w:t>
      </w:r>
      <w:r w:rsidRPr="00663BD6">
        <w:rPr>
          <w:rStyle w:val="Strong"/>
          <w:sz w:val="18"/>
          <w:szCs w:val="18"/>
        </w:rPr>
        <w:t>1,200+ research analysts</w:t>
      </w:r>
      <w:r w:rsidRPr="00663BD6">
        <w:rPr>
          <w:sz w:val="18"/>
          <w:szCs w:val="18"/>
        </w:rPr>
        <w:t>, supporting deep market insights and personalized investment strategies.</w:t>
      </w:r>
    </w:p>
    <w:p w14:paraId="2EFA2039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Investment</w:t>
      </w:r>
    </w:p>
    <w:p w14:paraId="4CB2E84C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Fidelity invests heavily in digital platforms, mobile apps, and trading tools to enhance user experience and operational efficiency.</w:t>
      </w:r>
    </w:p>
    <w:p w14:paraId="0686914A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🟥</w:t>
      </w:r>
      <w:r w:rsidRPr="00663BD6">
        <w:rPr>
          <w:sz w:val="20"/>
          <w:szCs w:val="20"/>
        </w:rPr>
        <w:t xml:space="preserve"> Weaknesses</w:t>
      </w:r>
    </w:p>
    <w:p w14:paraId="73808A03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Limited Global Footprint</w:t>
      </w:r>
    </w:p>
    <w:p w14:paraId="253B95E5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Fidelity’s operations are heavily U.S.-centric, reducing exposure to high-growth international markets.</w:t>
      </w:r>
    </w:p>
    <w:p w14:paraId="79F22EF4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Costs for Active Funds</w:t>
      </w:r>
    </w:p>
    <w:p w14:paraId="5B0052C1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Some actively managed funds have </w:t>
      </w:r>
      <w:r w:rsidRPr="00663BD6">
        <w:rPr>
          <w:rStyle w:val="Strong"/>
          <w:sz w:val="18"/>
          <w:szCs w:val="18"/>
        </w:rPr>
        <w:t>higher expense ratios</w:t>
      </w:r>
      <w:r w:rsidRPr="00663BD6">
        <w:rPr>
          <w:sz w:val="18"/>
          <w:szCs w:val="18"/>
        </w:rPr>
        <w:t xml:space="preserve"> compared to competitors like Vanguard’s passive offerings.</w:t>
      </w:r>
    </w:p>
    <w:p w14:paraId="3673A9BB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Complexity</w:t>
      </w:r>
    </w:p>
    <w:p w14:paraId="0E4328D4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The wide array of tools and products can overwhelm new investors, leading to usability challenges.</w:t>
      </w:r>
    </w:p>
    <w:p w14:paraId="418201D7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Variability</w:t>
      </w:r>
    </w:p>
    <w:p w14:paraId="338D711E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Reports of </w:t>
      </w:r>
      <w:r w:rsidRPr="00663BD6">
        <w:rPr>
          <w:rStyle w:val="Strong"/>
          <w:sz w:val="18"/>
          <w:szCs w:val="18"/>
        </w:rPr>
        <w:t>technical glitches and inconsistent support</w:t>
      </w:r>
      <w:r w:rsidRPr="00663BD6">
        <w:rPr>
          <w:sz w:val="18"/>
          <w:szCs w:val="18"/>
        </w:rPr>
        <w:t xml:space="preserve"> have surfaced, potentially affecting customer retention.</w:t>
      </w:r>
    </w:p>
    <w:p w14:paraId="543967D6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Burden</w:t>
      </w:r>
    </w:p>
    <w:p w14:paraId="395151B6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As a major financial institution, Fidelity faces high compliance costs and risks tied to evolving SEC and state regulations.</w:t>
      </w:r>
    </w:p>
    <w:p w14:paraId="7FB88C34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🟨</w:t>
      </w:r>
      <w:r w:rsidRPr="00663BD6">
        <w:rPr>
          <w:sz w:val="20"/>
          <w:szCs w:val="20"/>
        </w:rPr>
        <w:t xml:space="preserve"> Opportunities</w:t>
      </w:r>
    </w:p>
    <w:p w14:paraId="65E7A5F8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into ESG &amp; Sustainable Investing</w:t>
      </w:r>
    </w:p>
    <w:p w14:paraId="02D6F756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Rising demand for </w:t>
      </w:r>
      <w:r w:rsidRPr="00663BD6">
        <w:rPr>
          <w:rStyle w:val="Strong"/>
          <w:sz w:val="18"/>
          <w:szCs w:val="18"/>
        </w:rPr>
        <w:t>ESG-aligned products</w:t>
      </w:r>
      <w:r w:rsidRPr="00663BD6">
        <w:rPr>
          <w:sz w:val="18"/>
          <w:szCs w:val="18"/>
        </w:rPr>
        <w:t xml:space="preserve"> presents a chance to lead in ethical investing.</w:t>
      </w:r>
    </w:p>
    <w:p w14:paraId="0BDB425C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Growth in Alternative Investments</w:t>
      </w:r>
    </w:p>
    <w:p w14:paraId="758D8C07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is expanding into </w:t>
      </w:r>
      <w:r w:rsidRPr="00663BD6">
        <w:rPr>
          <w:rStyle w:val="Strong"/>
          <w:sz w:val="18"/>
          <w:szCs w:val="18"/>
        </w:rPr>
        <w:t>private equity, private credit, and model portfolios</w:t>
      </w:r>
      <w:r w:rsidRPr="00663BD6">
        <w:rPr>
          <w:sz w:val="18"/>
          <w:szCs w:val="18"/>
        </w:rPr>
        <w:t>, catering to institutional and high-net-worth clients.</w:t>
      </w:r>
    </w:p>
    <w:p w14:paraId="5241D9C0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Innovation &amp; AI Integration</w:t>
      </w:r>
    </w:p>
    <w:p w14:paraId="434B76FD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Potential to enhance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>-advisory services, personalization, and automation using AI-driven tools.</w:t>
      </w:r>
    </w:p>
    <w:p w14:paraId="41209264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Retirement Planning Boom</w:t>
      </w:r>
    </w:p>
    <w:p w14:paraId="199CCEF0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Aging U.S. population and employer-sponsored retirement plans create demand for </w:t>
      </w:r>
      <w:r w:rsidRPr="00663BD6">
        <w:rPr>
          <w:rStyle w:val="Strong"/>
          <w:sz w:val="18"/>
          <w:szCs w:val="18"/>
        </w:rPr>
        <w:t>401(k) management and advisory services</w:t>
      </w:r>
      <w:r w:rsidRPr="00663BD6">
        <w:rPr>
          <w:sz w:val="18"/>
          <w:szCs w:val="18"/>
        </w:rPr>
        <w:t>.</w:t>
      </w:r>
    </w:p>
    <w:p w14:paraId="2FBB810A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International Expansion</w:t>
      </w:r>
    </w:p>
    <w:p w14:paraId="47522AC8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>Opportunity to enter emerging markets or offer cross-border investment services to global clients.</w:t>
      </w:r>
    </w:p>
    <w:p w14:paraId="364025CE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🟥</w:t>
      </w:r>
      <w:r w:rsidRPr="00663BD6">
        <w:rPr>
          <w:sz w:val="20"/>
          <w:szCs w:val="20"/>
        </w:rPr>
        <w:t xml:space="preserve"> Threats</w:t>
      </w:r>
    </w:p>
    <w:p w14:paraId="55F71FEF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Intense Industry Competition</w:t>
      </w:r>
    </w:p>
    <w:p w14:paraId="0490F456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Faces pressure from </w:t>
      </w:r>
      <w:r w:rsidRPr="00663BD6">
        <w:rPr>
          <w:rStyle w:val="Strong"/>
          <w:sz w:val="18"/>
          <w:szCs w:val="18"/>
        </w:rPr>
        <w:t>Vanguard, BlackRock, Schwab</w:t>
      </w:r>
      <w:r w:rsidRPr="00663BD6">
        <w:rPr>
          <w:sz w:val="18"/>
          <w:szCs w:val="18"/>
        </w:rPr>
        <w:t>, and fintech disruptors like Robinhood, especially on fees and user experience.</w:t>
      </w:r>
    </w:p>
    <w:p w14:paraId="47FA38EB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</w:t>
      </w:r>
    </w:p>
    <w:p w14:paraId="6566799E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The shift toward </w:t>
      </w:r>
      <w:r w:rsidRPr="00663BD6">
        <w:rPr>
          <w:rStyle w:val="Strong"/>
          <w:sz w:val="18"/>
          <w:szCs w:val="18"/>
        </w:rPr>
        <w:t>low-cost passive investing</w:t>
      </w:r>
      <w:r w:rsidRPr="00663BD6">
        <w:rPr>
          <w:sz w:val="18"/>
          <w:szCs w:val="18"/>
        </w:rPr>
        <w:t xml:space="preserve"> threatens revenue from actively managed products.</w:t>
      </w:r>
    </w:p>
    <w:p w14:paraId="275491F8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</w:t>
      </w:r>
    </w:p>
    <w:p w14:paraId="72709C53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 xml:space="preserve">Economic downturns and interest rate fluctuations directly impact Fidelity’s </w:t>
      </w:r>
      <w:r w:rsidRPr="00663BD6">
        <w:rPr>
          <w:rStyle w:val="Strong"/>
          <w:sz w:val="18"/>
          <w:szCs w:val="18"/>
        </w:rPr>
        <w:t>assets under management (AUM)</w:t>
      </w:r>
      <w:r w:rsidRPr="00663BD6">
        <w:rPr>
          <w:sz w:val="18"/>
          <w:szCs w:val="18"/>
        </w:rPr>
        <w:t xml:space="preserve"> and fee income.</w:t>
      </w:r>
    </w:p>
    <w:p w14:paraId="652A160F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Risks</w:t>
      </w:r>
    </w:p>
    <w:p w14:paraId="1A9D2BAC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As a digital-first firm, Fidelity is exposed to </w:t>
      </w:r>
      <w:r w:rsidRPr="00663BD6">
        <w:rPr>
          <w:rStyle w:val="Strong"/>
          <w:sz w:val="18"/>
          <w:szCs w:val="18"/>
        </w:rPr>
        <w:t>data breaches and cyberattacks</w:t>
      </w:r>
      <w:r w:rsidRPr="00663BD6">
        <w:rPr>
          <w:sz w:val="18"/>
          <w:szCs w:val="18"/>
        </w:rPr>
        <w:t>, which could damage trust and reputation.</w:t>
      </w:r>
    </w:p>
    <w:p w14:paraId="1AA12061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Changes</w:t>
      </w:r>
    </w:p>
    <w:p w14:paraId="3263FA3D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>New fiduciary rules, ESG disclosure mandates, and data privacy laws could increase operational complexity and cost.</w:t>
      </w:r>
    </w:p>
    <w:p w14:paraId="3BD9997F" w14:textId="61D27338" w:rsidR="00B72D51" w:rsidRPr="00A64E97" w:rsidRDefault="00B72D51" w:rsidP="00A64E97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1 #2 Chat GPT</w:t>
      </w:r>
    </w:p>
    <w:p w14:paraId="05C3CA8C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more detailed SWOT analysis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 with concrete examples and a focus on its market position in the U.S. financial services industry.</w:t>
      </w:r>
    </w:p>
    <w:p w14:paraId="433E1F79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5F9D493F">
          <v:rect id="_x0000_i1033" style="width:0;height:1.5pt" o:hralign="center" o:hrstd="t" o:hr="t" fillcolor="#a0a0a0" stroked="f"/>
        </w:pict>
      </w:r>
    </w:p>
    <w:p w14:paraId="414A2ACA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SWOT Analysis: Fidelity Investments (U.S.) — Focusing on Market Position</w:t>
      </w:r>
    </w:p>
    <w:p w14:paraId="55586C4F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300FD1C0">
          <v:rect id="_x0000_i1034" style="width:0;height:1.5pt" o:hralign="center" o:hrstd="t" o:hr="t" fillcolor="#a0a0a0" stroked="f"/>
        </w:pict>
      </w:r>
    </w:p>
    <w:p w14:paraId="3C40063D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Strengths</w:t>
      </w:r>
    </w:p>
    <w:p w14:paraId="7F3C2F71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Massive Assets Under Management / Administration &amp; Strong Financials</w:t>
      </w:r>
    </w:p>
    <w:p w14:paraId="42F507B9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As of early 2025, Fidelity reported </w:t>
      </w:r>
      <w:r w:rsidRPr="00663BD6">
        <w:rPr>
          <w:rStyle w:val="Emphasis"/>
          <w:sz w:val="18"/>
          <w:szCs w:val="18"/>
        </w:rPr>
        <w:t>record annual profit &amp; revenue</w:t>
      </w:r>
      <w:r w:rsidRPr="00663BD6">
        <w:rPr>
          <w:sz w:val="18"/>
          <w:szCs w:val="18"/>
        </w:rPr>
        <w:t xml:space="preserve">, with operating income up ~21%, revenue up ~16%, assets under management (“discretionary assets”) and assets under administration both increasing sharply. </w:t>
      </w:r>
      <w:hyperlink r:id="rId2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</w:hyperlink>
    </w:p>
    <w:p w14:paraId="4D361FD8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This gives Fidelity strong scale, which allows competitive pricing, investment in tech, talent, and marketing, and absorbing shocks during market downturns.</w:t>
      </w:r>
    </w:p>
    <w:p w14:paraId="307080EE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Brand Reputation &amp; Customer Satisfaction</w:t>
      </w:r>
    </w:p>
    <w:p w14:paraId="670EEDAB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is frequently ranked highly in customer satisfaction; in 2025 it was rated first in trade execution speed, educational resources, and cash management tools among online brokers. </w:t>
      </w:r>
      <w:hyperlink r:id="rId2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42C0B6B3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Known for long</w:t>
      </w:r>
      <w:r w:rsidRPr="00663BD6">
        <w:rPr>
          <w:sz w:val="18"/>
          <w:szCs w:val="18"/>
        </w:rPr>
        <w:noBreakHyphen/>
        <w:t>term thinking, client</w:t>
      </w:r>
      <w:r w:rsidRPr="00663BD6">
        <w:rPr>
          <w:sz w:val="18"/>
          <w:szCs w:val="18"/>
        </w:rPr>
        <w:noBreakHyphen/>
        <w:t xml:space="preserve">centric approach, attention to detail. </w:t>
      </w:r>
      <w:proofErr w:type="gramStart"/>
      <w:r w:rsidRPr="00663BD6">
        <w:rPr>
          <w:sz w:val="18"/>
          <w:szCs w:val="18"/>
        </w:rPr>
        <w:t>These help</w:t>
      </w:r>
      <w:proofErr w:type="gramEnd"/>
      <w:r w:rsidRPr="00663BD6">
        <w:rPr>
          <w:sz w:val="18"/>
          <w:szCs w:val="18"/>
        </w:rPr>
        <w:t xml:space="preserve"> build trust and retention. </w:t>
      </w:r>
      <w:hyperlink r:id="rId2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762DDB59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Breadth of Products &amp; Competitive Offerings</w:t>
      </w:r>
    </w:p>
    <w:p w14:paraId="5844DBDE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Offers a very wide range: mutual funds (including active &amp; passive funds), ETFs (Fidelity has been expanding its ETF lineup), retirement services (401(k), IRAs), brokerage, wealth management, etc. </w:t>
      </w:r>
      <w:hyperlink r:id="rId2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4B3BB46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Its mutual funds, for example, have shown resilience in volatile markets. Fidelity mutual funds have performed relatively well “amid market volatility,” supported by diversified sector allocations and cost advantages. </w:t>
      </w:r>
      <w:hyperlink r:id="rId2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Investing.com</w:t>
        </w:r>
      </w:hyperlink>
    </w:p>
    <w:p w14:paraId="5E244E49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Infrastructure &amp; Tools, especially for Self</w:t>
      </w:r>
      <w:r w:rsidRPr="00663BD6">
        <w:rPr>
          <w:rStyle w:val="Strong"/>
          <w:sz w:val="18"/>
          <w:szCs w:val="18"/>
        </w:rPr>
        <w:noBreakHyphen/>
        <w:t>Directed Investors</w:t>
      </w:r>
    </w:p>
    <w:p w14:paraId="31DC28E7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Fidelity has been leveraging its research tools, real</w:t>
      </w:r>
      <w:r w:rsidRPr="00663BD6">
        <w:rPr>
          <w:sz w:val="18"/>
          <w:szCs w:val="18"/>
        </w:rPr>
        <w:noBreakHyphen/>
        <w:t>time insights, a robust platform for self</w:t>
      </w:r>
      <w:r w:rsidRPr="00663BD6">
        <w:rPr>
          <w:sz w:val="18"/>
          <w:szCs w:val="18"/>
        </w:rPr>
        <w:noBreakHyphen/>
        <w:t>directed and active traders. Their “State of the American Investor” study shows that many self</w:t>
      </w:r>
      <w:r w:rsidRPr="00663BD6">
        <w:rPr>
          <w:sz w:val="18"/>
          <w:szCs w:val="18"/>
        </w:rPr>
        <w:noBreakHyphen/>
        <w:t xml:space="preserve">directed investors rely on Fidelity’s tools &amp; research despite volatile markets. </w:t>
      </w:r>
      <w:hyperlink r:id="rId2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Fidelity Newsroom</w:t>
        </w:r>
      </w:hyperlink>
    </w:p>
    <w:p w14:paraId="6619EC59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Also, Fidelity’s mobile &amp; desktop platforms, trading tools like “Active Trader Pro,” educational content, etc., are often highlighted as strengths. </w:t>
      </w:r>
      <w:hyperlink r:id="rId2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wallstreetlogic.com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0B8D08A6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Economies of Scale, Cost Efficiencies &amp; Private Ownership</w:t>
      </w:r>
    </w:p>
    <w:p w14:paraId="3C917483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Being privately held (by the Johnson family) gives Fidelity more flexibility to take long</w:t>
      </w:r>
      <w:r w:rsidRPr="00663BD6">
        <w:rPr>
          <w:sz w:val="18"/>
          <w:szCs w:val="18"/>
        </w:rPr>
        <w:noBreakHyphen/>
        <w:t>term decisions without the same pressure from public markets for short</w:t>
      </w:r>
      <w:r w:rsidRPr="00663BD6">
        <w:rPr>
          <w:sz w:val="18"/>
          <w:szCs w:val="18"/>
        </w:rPr>
        <w:noBreakHyphen/>
        <w:t xml:space="preserve">term results. </w:t>
      </w:r>
      <w:hyperlink r:id="rId2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332FA5E0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Large scale helps with negotiating costs (fund operations, trading) and deploying technology across a big user base.</w:t>
      </w:r>
    </w:p>
    <w:p w14:paraId="45FB4583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69EE80C0">
          <v:rect id="_x0000_i1035" style="width:0;height:1.5pt" o:hralign="center" o:hrstd="t" o:hr="t" fillcolor="#a0a0a0" stroked="f"/>
        </w:pict>
      </w:r>
    </w:p>
    <w:p w14:paraId="53A682D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Weaknesses</w:t>
      </w:r>
    </w:p>
    <w:p w14:paraId="35F63A30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Expense Ratios in Some Active Funds</w:t>
      </w:r>
    </w:p>
    <w:p w14:paraId="4223133C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>While many of its passive/index offerings are low cost, some of its actively managed mutual funds carry higher fees (expense ratios) which can become a disadvantage vs low</w:t>
      </w:r>
      <w:r w:rsidRPr="00663BD6">
        <w:rPr>
          <w:sz w:val="18"/>
          <w:szCs w:val="18"/>
        </w:rPr>
        <w:noBreakHyphen/>
        <w:t xml:space="preserve">fee index competitors. This eats into investor returns. </w:t>
      </w:r>
      <w:hyperlink r:id="rId2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56A5CFCB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/ Feature Complexity &amp; Usability Issues for Less Experienced Investors</w:t>
      </w:r>
    </w:p>
    <w:p w14:paraId="32218746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has a lot of features, tools, options. While these are powerful, they can overwhelm new or less sophisticated investors. Navigating so many mutual funds, ETFs, product types can create friction. </w:t>
      </w:r>
      <w:hyperlink r:id="rId3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B4F4AD1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Also, there are user reports of technical glitches, interface issues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mobile app, “Active Trader Pro” configuration problems) which impact user experience. </w:t>
      </w:r>
      <w:hyperlink r:id="rId3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Reddit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BF60B38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/ Personalized Advice Variability</w:t>
      </w:r>
    </w:p>
    <w:p w14:paraId="69192E45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Some customers report inconsistent experiences with customer service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response times, resolving issues). </w:t>
      </w:r>
      <w:hyperlink r:id="rId3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0610FF7C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For clients who want highly personalized financial planning, or bespoke wealth</w:t>
      </w:r>
      <w:r w:rsidRPr="00663BD6">
        <w:rPr>
          <w:sz w:val="18"/>
          <w:szCs w:val="18"/>
        </w:rPr>
        <w:noBreakHyphen/>
        <w:t>management, Fidelity may be less specialized or flexible than boutique advisory firms. This can be a drawback in the wealth</w:t>
      </w:r>
      <w:r w:rsidRPr="00663BD6">
        <w:rPr>
          <w:sz w:val="18"/>
          <w:szCs w:val="18"/>
        </w:rPr>
        <w:noBreakHyphen/>
        <w:t xml:space="preserve">management segment. </w:t>
      </w:r>
      <w:hyperlink r:id="rId3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</w:hyperlink>
    </w:p>
    <w:p w14:paraId="5525F989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/ Legal Risks &amp; Past Litigations</w:t>
      </w:r>
    </w:p>
    <w:p w14:paraId="2CE2CD2B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has been involved in lawsuits / arbitration claims, 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investors claiming that Fidelity failed to supervise advisors, or claims of pressure to sell high</w:t>
      </w:r>
      <w:r w:rsidRPr="00663BD6">
        <w:rPr>
          <w:sz w:val="18"/>
          <w:szCs w:val="18"/>
        </w:rPr>
        <w:noBreakHyphen/>
        <w:t xml:space="preserve">fee investments to clients. These incidents can damage reputation, impose compliance costs, or lead to regulatory scrutiny. </w:t>
      </w:r>
      <w:hyperlink r:id="rId3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13E5C0A4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7DCE22F5">
          <v:rect id="_x0000_i1036" style="width:0;height:1.5pt" o:hralign="center" o:hrstd="t" o:hr="t" fillcolor="#a0a0a0" stroked="f"/>
        </w:pict>
      </w:r>
    </w:p>
    <w:p w14:paraId="701C1B22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Opportunities</w:t>
      </w:r>
    </w:p>
    <w:p w14:paraId="0149D31A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Growth in Passive / ETF Offerings &amp; Alternatives</w:t>
      </w:r>
    </w:p>
    <w:p w14:paraId="083447B8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The trend toward lower</w:t>
      </w:r>
      <w:r w:rsidRPr="00663BD6">
        <w:rPr>
          <w:sz w:val="18"/>
          <w:szCs w:val="18"/>
        </w:rPr>
        <w:noBreakHyphen/>
        <w:t xml:space="preserve">cost index funds/ETFs </w:t>
      </w:r>
      <w:proofErr w:type="gramStart"/>
      <w:r w:rsidRPr="00663BD6">
        <w:rPr>
          <w:sz w:val="18"/>
          <w:szCs w:val="18"/>
        </w:rPr>
        <w:t>continues</w:t>
      </w:r>
      <w:proofErr w:type="gramEnd"/>
      <w:r w:rsidRPr="00663BD6">
        <w:rPr>
          <w:sz w:val="18"/>
          <w:szCs w:val="18"/>
        </w:rPr>
        <w:t xml:space="preserve">; Fidelity can capture more market share by expanding its ETF lineup, improving expense ratios, and developing competitive passive products. Their expansion of ETFs is already a driver of recent performance. </w:t>
      </w:r>
      <w:hyperlink r:id="rId3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</w:hyperlink>
    </w:p>
    <w:p w14:paraId="58B004F5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Rising Demand from Self</w:t>
      </w:r>
      <w:r w:rsidRPr="00663BD6">
        <w:rPr>
          <w:rStyle w:val="Strong"/>
          <w:sz w:val="18"/>
          <w:szCs w:val="18"/>
        </w:rPr>
        <w:noBreakHyphen/>
        <w:t>Directed Investors</w:t>
      </w:r>
    </w:p>
    <w:p w14:paraId="73BB094C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As shown in their recent survey, many self</w:t>
      </w:r>
      <w:r w:rsidRPr="00663BD6">
        <w:rPr>
          <w:sz w:val="18"/>
          <w:szCs w:val="18"/>
        </w:rPr>
        <w:noBreakHyphen/>
        <w:t xml:space="preserve">directed investors remain confident and are seeking to use tools, insights, and investment choice. Fidelity’s strong platforms and research can attract these traders. </w:t>
      </w:r>
      <w:hyperlink r:id="rId3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Fidelity Newsroom</w:t>
        </w:r>
      </w:hyperlink>
    </w:p>
    <w:p w14:paraId="6960AC7B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Sustainable/ESG Investing &amp; Thematic Investing Trends</w:t>
      </w:r>
    </w:p>
    <w:p w14:paraId="3CC5DEE6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Investor interest in ESG, climate, impact, etc., is growing. Fidelity can further develop ESG</w:t>
      </w:r>
      <w:proofErr w:type="gramStart"/>
      <w:r w:rsidRPr="00663BD6">
        <w:rPr>
          <w:sz w:val="18"/>
          <w:szCs w:val="18"/>
        </w:rPr>
        <w:t>/“</w:t>
      </w:r>
      <w:proofErr w:type="gramEnd"/>
      <w:r w:rsidRPr="00663BD6">
        <w:rPr>
          <w:sz w:val="18"/>
          <w:szCs w:val="18"/>
        </w:rPr>
        <w:t>sustainable funds,” thematic offerings (e.g. technology, renewable energy, AI) to appeal to this demand.</w:t>
      </w:r>
    </w:p>
    <w:p w14:paraId="0E04ECD5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as Opportunity</w:t>
      </w:r>
    </w:p>
    <w:p w14:paraId="6DFE6199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In volatile markets, investors often shift toward trusted providers with broad offerings, good research, and risk management. Fidelity’s strength during volatile periods and its diversified fund lineup </w:t>
      </w:r>
      <w:proofErr w:type="gramStart"/>
      <w:r w:rsidRPr="00663BD6">
        <w:rPr>
          <w:sz w:val="18"/>
          <w:szCs w:val="18"/>
        </w:rPr>
        <w:t>give</w:t>
      </w:r>
      <w:proofErr w:type="gramEnd"/>
      <w:r w:rsidRPr="00663BD6">
        <w:rPr>
          <w:sz w:val="18"/>
          <w:szCs w:val="18"/>
        </w:rPr>
        <w:t xml:space="preserve"> it an edge. Also, dips in the market may be entry points.</w:t>
      </w:r>
    </w:p>
    <w:p w14:paraId="52F30997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Improving Digital &amp; Personalization Tools</w:t>
      </w:r>
    </w:p>
    <w:p w14:paraId="50C3CBFB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Enhancing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>advisory, AI/ML tools, personalized portfolio suggestions, better UX for newer investors. Simplifying interfaces, suggesting suitable investment options vs overwhelming with choices.</w:t>
      </w:r>
    </w:p>
    <w:p w14:paraId="02754C21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Expanding Retirement Services &amp; Employer Plans</w:t>
      </w:r>
    </w:p>
    <w:p w14:paraId="68F64FB3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With a large aging population, the importance of retirement savings (401(k), defined contribution plans, IRAs) remains high. Fidelity can deepen its offerings in employer plans, retirement advisory.</w:t>
      </w:r>
    </w:p>
    <w:p w14:paraId="4C5C6B55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68200FB5">
          <v:rect id="_x0000_i1037" style="width:0;height:1.5pt" o:hralign="center" o:hrstd="t" o:hr="t" fillcolor="#a0a0a0" stroked="f"/>
        </w:pict>
      </w:r>
    </w:p>
    <w:p w14:paraId="108E7C8A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Threats</w:t>
      </w:r>
    </w:p>
    <w:p w14:paraId="454C79BF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Compression, Rise of Low</w:t>
      </w:r>
      <w:r w:rsidRPr="00663BD6">
        <w:rPr>
          <w:rStyle w:val="Strong"/>
          <w:sz w:val="18"/>
          <w:szCs w:val="18"/>
        </w:rPr>
        <w:noBreakHyphen/>
        <w:t>Cost Competitors</w:t>
      </w:r>
    </w:p>
    <w:p w14:paraId="21E77665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Competitors like Vanguard, Charles Schwab,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>advisors, online discount brokers are pushing very low fees, or zero commissions. These put pressure on higher</w:t>
      </w:r>
      <w:r w:rsidRPr="00663BD6">
        <w:rPr>
          <w:sz w:val="18"/>
          <w:szCs w:val="18"/>
        </w:rPr>
        <w:noBreakHyphen/>
        <w:t>margin products, especially for active fund management. Fidelity needs to justify higher fees via performance or value.</w:t>
      </w:r>
    </w:p>
    <w:p w14:paraId="47B5CAA5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/ Legal Scrutiny</w:t>
      </w:r>
    </w:p>
    <w:p w14:paraId="242C007F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Regulatory environment is tightening (SEC, FINRA, fiduciary duty rules, disclosure, oversight of advisors). Past lawsuits show risk of compliance failures. New regulation can increase costs or reduce flexibility.</w:t>
      </w:r>
    </w:p>
    <w:p w14:paraId="471BD8D6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Macroeconomic / Market Volatility Risks</w:t>
      </w:r>
    </w:p>
    <w:p w14:paraId="125A5546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Downturns, bear markets reduce assets under management, reduce trading activity (lower revenues), reduce inflows. Rising interest rates can hurt fixed income returns; inflation can squeeze margins.</w:t>
      </w:r>
    </w:p>
    <w:p w14:paraId="2E861581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Technology Disruption and Cybersecurity Risks</w:t>
      </w:r>
    </w:p>
    <w:p w14:paraId="68F3BCBE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Fintech startups with newer technologies, nimble operations could lure some customers away. Also threat of data breaches, outages that undermine trust.</w:t>
      </w:r>
    </w:p>
    <w:p w14:paraId="699CBEC8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Investor Behavior Shifts</w:t>
      </w:r>
    </w:p>
    <w:p w14:paraId="3D4FDEDD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If investors move even more toward passive, low cost, index investments, or demand simplified products, firms with more complex or opaque fee structures may lose favor.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demographic shifts (younger investors might prefer different platforms, or even non</w:t>
      </w:r>
      <w:r w:rsidRPr="00663BD6">
        <w:rPr>
          <w:sz w:val="18"/>
          <w:szCs w:val="18"/>
        </w:rPr>
        <w:noBreakHyphen/>
        <w:t>traditional assets) could erode some market segments.</w:t>
      </w:r>
    </w:p>
    <w:p w14:paraId="3C25A6D1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Reputation Risk from Misconduct or Litigation</w:t>
      </w:r>
    </w:p>
    <w:p w14:paraId="0B7D744C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Accusations of inappropriate sales practices, pressure to sell high</w:t>
      </w:r>
      <w:r w:rsidRPr="00663BD6">
        <w:rPr>
          <w:sz w:val="18"/>
          <w:szCs w:val="18"/>
        </w:rPr>
        <w:noBreakHyphen/>
        <w:t xml:space="preserve">fee products, failure to supervise advisors. Such controversies can damage market confidence and lead to regulatory penalties. </w:t>
      </w:r>
      <w:hyperlink r:id="rId3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6E34F50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31077297">
          <v:rect id="_x0000_i1038" style="width:0;height:1.5pt" o:hralign="center" o:hrstd="t" o:hr="t" fillcolor="#a0a0a0" stroked="f"/>
        </w:pict>
      </w:r>
    </w:p>
    <w:p w14:paraId="3966A9BF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Summary: Market Position Implications &amp; Strategic Insights</w:t>
      </w:r>
    </w:p>
    <w:p w14:paraId="328ADDA1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position, but not unchallenged</w:t>
      </w:r>
      <w:r w:rsidRPr="00663BD6">
        <w:rPr>
          <w:sz w:val="18"/>
          <w:szCs w:val="18"/>
        </w:rPr>
        <w:t xml:space="preserve">: Fidelity is among the leaders in U.S. in asset management, mutual funds, retirement services, brokerage. Its scale, trust, and product breadth give it </w:t>
      </w:r>
      <w:proofErr w:type="gramStart"/>
      <w:r w:rsidRPr="00663BD6">
        <w:rPr>
          <w:sz w:val="18"/>
          <w:szCs w:val="18"/>
        </w:rPr>
        <w:t>high</w:t>
      </w:r>
      <w:proofErr w:type="gramEnd"/>
      <w:r w:rsidRPr="00663BD6">
        <w:rPr>
          <w:sz w:val="18"/>
          <w:szCs w:val="18"/>
        </w:rPr>
        <w:t xml:space="preserve"> competitive advantage.</w:t>
      </w:r>
    </w:p>
    <w:p w14:paraId="146529C8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Need to balance cost vs value</w:t>
      </w:r>
      <w:r w:rsidRPr="00663BD6">
        <w:rPr>
          <w:sz w:val="18"/>
          <w:szCs w:val="18"/>
        </w:rPr>
        <w:t>: To maintain or grow market share, especially among cost</w:t>
      </w:r>
      <w:r w:rsidRPr="00663BD6">
        <w:rPr>
          <w:sz w:val="18"/>
          <w:szCs w:val="18"/>
        </w:rPr>
        <w:noBreakHyphen/>
        <w:t>sensitive investors and younger generations, Fidelity must keep fee pressure in check, while emphasizing quality of service, research, and tools.</w:t>
      </w:r>
    </w:p>
    <w:p w14:paraId="08008B4B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Importance of differentiation</w:t>
      </w:r>
      <w:r w:rsidRPr="00663BD6">
        <w:rPr>
          <w:sz w:val="18"/>
          <w:szCs w:val="18"/>
        </w:rPr>
        <w:t>: Differentiation via technology (trading tools, mobile UX), customer experience, personalization, retirement planning capability, ESG offerings will be key to staying ahead.</w:t>
      </w:r>
    </w:p>
    <w:p w14:paraId="17EC611D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Risks to guard against</w:t>
      </w:r>
      <w:r w:rsidRPr="00663BD6">
        <w:rPr>
          <w:sz w:val="18"/>
          <w:szCs w:val="18"/>
        </w:rPr>
        <w:t>: Regulatory missteps, customer dissatisfaction (especially over fees or service), and failure to adapt to newer investor preferences (simplicity, transparency) could erode its market position over time.</w:t>
      </w:r>
    </w:p>
    <w:p w14:paraId="1CB9A677" w14:textId="12003CFC" w:rsidR="00B72D51" w:rsidRPr="00A64E97" w:rsidRDefault="00B72D51" w:rsidP="00A64E97">
      <w:pPr>
        <w:pStyle w:val="ListParagraph"/>
        <w:numPr>
          <w:ilvl w:val="0"/>
          <w:numId w:val="45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2 #</w:t>
      </w:r>
      <w:r w:rsidR="008D17EA" w:rsidRPr="00A64E97">
        <w:rPr>
          <w:b/>
          <w:bCs/>
          <w:sz w:val="36"/>
          <w:szCs w:val="36"/>
        </w:rPr>
        <w:t>1</w:t>
      </w:r>
      <w:r w:rsidRPr="00A64E97">
        <w:rPr>
          <w:b/>
          <w:bCs/>
          <w:sz w:val="36"/>
          <w:szCs w:val="36"/>
        </w:rPr>
        <w:t xml:space="preserve"> C</w:t>
      </w:r>
      <w:r w:rsidR="008D17EA" w:rsidRPr="00A64E97">
        <w:rPr>
          <w:b/>
          <w:bCs/>
          <w:sz w:val="36"/>
          <w:szCs w:val="36"/>
        </w:rPr>
        <w:t>opilot</w:t>
      </w:r>
    </w:p>
    <w:p w14:paraId="06AC901D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Certainly. Below is a </w:t>
      </w:r>
      <w:r w:rsidRPr="00663BD6">
        <w:rPr>
          <w:rStyle w:val="Strong"/>
          <w:sz w:val="18"/>
          <w:szCs w:val="18"/>
        </w:rPr>
        <w:t>concise, professionally written SWOT analysis</w:t>
      </w:r>
      <w:r w:rsidRPr="00663BD6">
        <w:rPr>
          <w:sz w:val="18"/>
          <w:szCs w:val="18"/>
        </w:rPr>
        <w:t xml:space="preserve">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, with a focus on its </w:t>
      </w:r>
      <w:r w:rsidRPr="00663BD6">
        <w:rPr>
          <w:rStyle w:val="Strong"/>
          <w:sz w:val="18"/>
          <w:szCs w:val="18"/>
        </w:rPr>
        <w:t>market position</w:t>
      </w:r>
      <w:r w:rsidRPr="00663BD6">
        <w:rPr>
          <w:sz w:val="18"/>
          <w:szCs w:val="18"/>
        </w:rPr>
        <w:t xml:space="preserve"> in the U.S. financial services industry.</w:t>
      </w:r>
    </w:p>
    <w:p w14:paraId="2521606F" w14:textId="77777777" w:rsidR="00B72D51" w:rsidRPr="00663BD6" w:rsidRDefault="00B72D51" w:rsidP="00B72D51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055E1DDE">
          <v:rect id="_x0000_i1045" style="width:0;height:1.5pt" o:hralign="center" o:hrstd="t" o:hr="t" fillcolor="#a0a0a0" stroked="f"/>
        </w:pict>
      </w:r>
    </w:p>
    <w:p w14:paraId="0C7D4923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Style w:val="Strong"/>
          <w:b w:val="0"/>
          <w:bCs w:val="0"/>
          <w:sz w:val="20"/>
          <w:szCs w:val="20"/>
        </w:rPr>
        <w:t>Fidelity Investments – SWOT Analysis (Market Position Focus)</w:t>
      </w:r>
    </w:p>
    <w:p w14:paraId="3D6B69C7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Strengths</w:t>
      </w:r>
    </w:p>
    <w:p w14:paraId="5CC5DB9F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Market Presence</w:t>
      </w:r>
      <w:r w:rsidRPr="00663BD6">
        <w:rPr>
          <w:sz w:val="18"/>
          <w:szCs w:val="18"/>
        </w:rPr>
        <w:t>: Among the top U.S. investment firms with trillions in assets under management and administration.</w:t>
      </w:r>
    </w:p>
    <w:p w14:paraId="2D8744EB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Broad Product Portfolio</w:t>
      </w:r>
      <w:r w:rsidRPr="00663BD6">
        <w:rPr>
          <w:sz w:val="18"/>
          <w:szCs w:val="18"/>
        </w:rPr>
        <w:t>: Offers diversified services—mutual funds, ETFs, brokerage, retirement planning, wealth management, and alternatives.</w:t>
      </w:r>
    </w:p>
    <w:p w14:paraId="396BC343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Established Brand Trust</w:t>
      </w:r>
      <w:r w:rsidRPr="00663BD6">
        <w:rPr>
          <w:sz w:val="18"/>
          <w:szCs w:val="18"/>
        </w:rPr>
        <w:t>: Long-standing reputation for stability, integrity, and investor-focused strategies.</w:t>
      </w:r>
    </w:p>
    <w:p w14:paraId="762EBDA6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Innovation</w:t>
      </w:r>
      <w:r w:rsidRPr="00663BD6">
        <w:rPr>
          <w:sz w:val="18"/>
          <w:szCs w:val="18"/>
        </w:rPr>
        <w:t>: Advanced trading platforms, digital tools, and personalized investor insights enhance client engagement.</w:t>
      </w:r>
    </w:p>
    <w:p w14:paraId="7A2E811D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Private Ownership Advantage</w:t>
      </w:r>
      <w:r w:rsidRPr="00663BD6">
        <w:rPr>
          <w:sz w:val="18"/>
          <w:szCs w:val="18"/>
        </w:rPr>
        <w:t>: Greater strategic flexibility and long-term focus without public shareholder pressure.</w:t>
      </w:r>
    </w:p>
    <w:p w14:paraId="651C2075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Weaknesses</w:t>
      </w:r>
    </w:p>
    <w:p w14:paraId="03160A24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Sensitivity in Active Products</w:t>
      </w:r>
      <w:r w:rsidRPr="00663BD6">
        <w:rPr>
          <w:sz w:val="18"/>
          <w:szCs w:val="18"/>
        </w:rPr>
        <w:t>: Higher expense ratios on some actively managed funds relative to low-cost passive competitors.</w:t>
      </w:r>
    </w:p>
    <w:p w14:paraId="7F8FAE30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Complexity</w:t>
      </w:r>
      <w:r w:rsidRPr="00663BD6">
        <w:rPr>
          <w:sz w:val="18"/>
          <w:szCs w:val="18"/>
        </w:rPr>
        <w:t>: Broad service offerings can create user experience challenges, particularly for novice investors.</w:t>
      </w:r>
    </w:p>
    <w:p w14:paraId="461A6099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Inconsistent Service Levels</w:t>
      </w:r>
      <w:r w:rsidRPr="00663BD6">
        <w:rPr>
          <w:sz w:val="18"/>
          <w:szCs w:val="18"/>
        </w:rPr>
        <w:t>: Variability in customer service quality may impact client satisfaction and retention.</w:t>
      </w:r>
    </w:p>
    <w:p w14:paraId="7CF8B368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U.S.-Centric Focus</w:t>
      </w:r>
      <w:r w:rsidRPr="00663BD6">
        <w:rPr>
          <w:sz w:val="18"/>
          <w:szCs w:val="18"/>
        </w:rPr>
        <w:t>: Limited global footprint reduces exposure to international market growth opportunities.</w:t>
      </w:r>
    </w:p>
    <w:p w14:paraId="6C07973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Opportunities</w:t>
      </w:r>
    </w:p>
    <w:p w14:paraId="7A40EB53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ETF and Passive Investment Expansion</w:t>
      </w:r>
      <w:r w:rsidRPr="00663BD6">
        <w:rPr>
          <w:sz w:val="18"/>
          <w:szCs w:val="18"/>
        </w:rPr>
        <w:t>: Continued growth in low-cost investing offers potential to gain market share.</w:t>
      </w:r>
    </w:p>
    <w:p w14:paraId="2790C0F8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Personalization</w:t>
      </w:r>
      <w:r w:rsidRPr="00663BD6">
        <w:rPr>
          <w:sz w:val="18"/>
          <w:szCs w:val="18"/>
        </w:rPr>
        <w:t>: Enhancing AI-driven financial tools and mobile experience to meet evolving investor expectations.</w:t>
      </w:r>
    </w:p>
    <w:p w14:paraId="7747C0A2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Retirement Market Growth</w:t>
      </w:r>
      <w:r w:rsidRPr="00663BD6">
        <w:rPr>
          <w:sz w:val="18"/>
          <w:szCs w:val="18"/>
        </w:rPr>
        <w:t>: Aging U.S. population increases demand for retirement planning and employer-sponsored plans.</w:t>
      </w:r>
    </w:p>
    <w:p w14:paraId="16B5FF30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ESG and Thematic Investing</w:t>
      </w:r>
      <w:r w:rsidRPr="00663BD6">
        <w:rPr>
          <w:sz w:val="18"/>
          <w:szCs w:val="18"/>
        </w:rPr>
        <w:t>: Rising investor interest in sustainability opens avenues for new product development.</w:t>
      </w:r>
    </w:p>
    <w:p w14:paraId="5F0BA37C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Advisor &amp; Institutional Solutions</w:t>
      </w:r>
      <w:r w:rsidRPr="00663BD6">
        <w:rPr>
          <w:sz w:val="18"/>
          <w:szCs w:val="18"/>
        </w:rPr>
        <w:t>: Strengthening offerings to financial advisors and institutions to deepen market penetration.</w:t>
      </w:r>
    </w:p>
    <w:p w14:paraId="5C8BBE1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Threats</w:t>
      </w:r>
    </w:p>
    <w:p w14:paraId="78083D5D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Intensifying Competition</w:t>
      </w:r>
      <w:r w:rsidRPr="00663BD6">
        <w:rPr>
          <w:sz w:val="18"/>
          <w:szCs w:val="18"/>
        </w:rPr>
        <w:t>: Fee compression from rivals like Vanguard, Schwab, and fintech disruptors pressures margins.</w:t>
      </w:r>
    </w:p>
    <w:p w14:paraId="6F26FDC9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Complexity</w:t>
      </w:r>
      <w:r w:rsidRPr="00663BD6">
        <w:rPr>
          <w:sz w:val="18"/>
          <w:szCs w:val="18"/>
        </w:rPr>
        <w:t>: Heightened regulatory scrutiny may increase compliance costs and operational risk.</w:t>
      </w:r>
    </w:p>
    <w:p w14:paraId="45E30287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</w:t>
      </w:r>
      <w:r w:rsidRPr="00663BD6">
        <w:rPr>
          <w:sz w:val="18"/>
          <w:szCs w:val="18"/>
        </w:rPr>
        <w:t>: Downturns reduce AUM, trading volume, and investor confidence—impacting revenue streams.</w:t>
      </w:r>
    </w:p>
    <w:p w14:paraId="30E4CE49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</w:t>
      </w:r>
      <w:r w:rsidRPr="00663BD6">
        <w:rPr>
          <w:sz w:val="18"/>
          <w:szCs w:val="18"/>
        </w:rPr>
        <w:t>: As a digital-first platform, Fidelity remains exposed to evolving cyber threats and data breaches.</w:t>
      </w:r>
    </w:p>
    <w:p w14:paraId="54CA86CF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Shifting Investor Behavior</w:t>
      </w:r>
      <w:r w:rsidRPr="00663BD6">
        <w:rPr>
          <w:sz w:val="18"/>
          <w:szCs w:val="18"/>
        </w:rPr>
        <w:t xml:space="preserve">: Preference for simplified, low-cost digital platforms may divert clients to emerging </w:t>
      </w:r>
      <w:proofErr w:type="spellStart"/>
      <w:r w:rsidRPr="00663BD6">
        <w:rPr>
          <w:sz w:val="18"/>
          <w:szCs w:val="18"/>
        </w:rPr>
        <w:t>fintechs</w:t>
      </w:r>
      <w:proofErr w:type="spellEnd"/>
      <w:r w:rsidRPr="00663BD6">
        <w:rPr>
          <w:sz w:val="18"/>
          <w:szCs w:val="18"/>
        </w:rPr>
        <w:t>.</w:t>
      </w:r>
    </w:p>
    <w:p w14:paraId="545035BF" w14:textId="4DBE18D7" w:rsidR="00B72D51" w:rsidRPr="00A64E97" w:rsidRDefault="00B72D51" w:rsidP="00A64E97">
      <w:pPr>
        <w:pStyle w:val="ListParagraph"/>
        <w:numPr>
          <w:ilvl w:val="0"/>
          <w:numId w:val="44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2 #1</w:t>
      </w:r>
      <w:r w:rsidR="008D17EA" w:rsidRPr="00A64E97">
        <w:rPr>
          <w:b/>
          <w:bCs/>
          <w:sz w:val="36"/>
          <w:szCs w:val="36"/>
        </w:rPr>
        <w:t xml:space="preserve"> Copilot</w:t>
      </w:r>
    </w:p>
    <w:p w14:paraId="73B8CF6A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Here's a concise, professionally formatted </w:t>
      </w:r>
      <w:r w:rsidRPr="008D17EA">
        <w:rPr>
          <w:rStyle w:val="Strong"/>
          <w:sz w:val="18"/>
          <w:szCs w:val="18"/>
        </w:rPr>
        <w:t>SWOT analysis</w:t>
      </w:r>
      <w:r w:rsidRPr="008D17EA">
        <w:rPr>
          <w:sz w:val="18"/>
          <w:szCs w:val="18"/>
        </w:rPr>
        <w:t xml:space="preserve"> for </w:t>
      </w:r>
      <w:r w:rsidRPr="008D17EA">
        <w:rPr>
          <w:rStyle w:val="Strong"/>
          <w:sz w:val="18"/>
          <w:szCs w:val="18"/>
        </w:rPr>
        <w:t>Fidelity Investments</w:t>
      </w:r>
      <w:r w:rsidRPr="008D17EA">
        <w:rPr>
          <w:sz w:val="18"/>
          <w:szCs w:val="18"/>
        </w:rPr>
        <w:t>, with a focus on its market position:</w:t>
      </w:r>
    </w:p>
    <w:p w14:paraId="13FA0814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🟩</w:t>
      </w:r>
      <w:r w:rsidRPr="008D17EA">
        <w:rPr>
          <w:sz w:val="20"/>
          <w:szCs w:val="20"/>
        </w:rPr>
        <w:t xml:space="preserve"> Strengths</w:t>
      </w:r>
    </w:p>
    <w:p w14:paraId="7A149066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Market Leadership</w:t>
      </w:r>
      <w:r w:rsidRPr="008D17EA">
        <w:rPr>
          <w:sz w:val="18"/>
          <w:szCs w:val="18"/>
        </w:rPr>
        <w:t>: One of the largest U.S. investment firms, managing over $4 trillion in assets.</w:t>
      </w:r>
    </w:p>
    <w:p w14:paraId="01F48E8C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Brand Trust</w:t>
      </w:r>
      <w:r w:rsidRPr="008D17EA">
        <w:rPr>
          <w:sz w:val="18"/>
          <w:szCs w:val="18"/>
        </w:rPr>
        <w:t>: Strong reputation among retail and institutional investors, reinforced by decades of performance.</w:t>
      </w:r>
    </w:p>
    <w:p w14:paraId="1E0D3D25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Comprehensive Product Suite</w:t>
      </w:r>
      <w:r w:rsidRPr="008D17EA">
        <w:rPr>
          <w:sz w:val="18"/>
          <w:szCs w:val="18"/>
        </w:rPr>
        <w:t>: Offers mutual funds, ETFs, retirement plans, brokerage, and wealth management services.</w:t>
      </w:r>
    </w:p>
    <w:p w14:paraId="7CEF7554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Technology Investment</w:t>
      </w:r>
      <w:r w:rsidRPr="008D17EA">
        <w:rPr>
          <w:sz w:val="18"/>
          <w:szCs w:val="18"/>
        </w:rPr>
        <w:t>: Advanced digital platforms and trading tools enhance client experience and operational efficiency.</w:t>
      </w:r>
    </w:p>
    <w:p w14:paraId="097513E6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Research Depth</w:t>
      </w:r>
      <w:r w:rsidRPr="008D17EA">
        <w:rPr>
          <w:sz w:val="18"/>
          <w:szCs w:val="18"/>
        </w:rPr>
        <w:t>: Extensive in-house research capabilities support informed investment decisions and advisor services.</w:t>
      </w:r>
    </w:p>
    <w:p w14:paraId="6B89261C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🟥</w:t>
      </w:r>
      <w:r w:rsidRPr="008D17EA">
        <w:rPr>
          <w:sz w:val="20"/>
          <w:szCs w:val="20"/>
        </w:rPr>
        <w:t xml:space="preserve"> Weaknesses</w:t>
      </w:r>
    </w:p>
    <w:p w14:paraId="0787EBEC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Limited Global Reach</w:t>
      </w:r>
      <w:r w:rsidRPr="008D17EA">
        <w:rPr>
          <w:sz w:val="18"/>
          <w:szCs w:val="18"/>
        </w:rPr>
        <w:t>: Primarily U.S.-focused, reducing exposure to international growth markets.</w:t>
      </w:r>
    </w:p>
    <w:p w14:paraId="04727802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Higher Active Fund Costs</w:t>
      </w:r>
      <w:r w:rsidRPr="008D17EA">
        <w:rPr>
          <w:sz w:val="18"/>
          <w:szCs w:val="18"/>
        </w:rPr>
        <w:t>: Expense ratios on some actively managed funds are less competitive than passive alternatives.</w:t>
      </w:r>
    </w:p>
    <w:p w14:paraId="36728BD7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Platform Complexity</w:t>
      </w:r>
      <w:r w:rsidRPr="008D17EA">
        <w:rPr>
          <w:sz w:val="18"/>
          <w:szCs w:val="18"/>
        </w:rPr>
        <w:t>: Broad product offerings may overwhelm new or less experienced investors.</w:t>
      </w:r>
    </w:p>
    <w:p w14:paraId="636B89E6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Customer Service Variability</w:t>
      </w:r>
      <w:r w:rsidRPr="008D17EA">
        <w:rPr>
          <w:sz w:val="18"/>
          <w:szCs w:val="18"/>
        </w:rPr>
        <w:t>: Occasional reports of service inconsistencies and technical issues.</w:t>
      </w:r>
    </w:p>
    <w:p w14:paraId="2F9631BE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🟨</w:t>
      </w:r>
      <w:r w:rsidRPr="008D17EA">
        <w:rPr>
          <w:sz w:val="20"/>
          <w:szCs w:val="20"/>
        </w:rPr>
        <w:t xml:space="preserve"> Opportunities</w:t>
      </w:r>
    </w:p>
    <w:p w14:paraId="2FFF2329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&amp; Sustainable Investing</w:t>
      </w:r>
      <w:r w:rsidRPr="008D17EA">
        <w:rPr>
          <w:sz w:val="18"/>
          <w:szCs w:val="18"/>
        </w:rPr>
        <w:t>: Rising demand for ethical investment products presents growth potential.</w:t>
      </w:r>
    </w:p>
    <w:p w14:paraId="69F4AD44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Alternative Investments Expansion</w:t>
      </w:r>
      <w:r w:rsidRPr="008D17EA">
        <w:rPr>
          <w:sz w:val="18"/>
          <w:szCs w:val="18"/>
        </w:rPr>
        <w:t>: Increasing interest in private equity, credit, and model portfolios among high-net-worth clients.</w:t>
      </w:r>
    </w:p>
    <w:p w14:paraId="6AA7ED95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Digital Innovation</w:t>
      </w:r>
      <w:r w:rsidRPr="008D17EA">
        <w:rPr>
          <w:sz w:val="18"/>
          <w:szCs w:val="18"/>
        </w:rPr>
        <w:t>: AI-driven personalization and hybrid advisory models can attract younger investors.</w:t>
      </w:r>
    </w:p>
    <w:p w14:paraId="47524BD7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Market Growth</w:t>
      </w:r>
      <w:r w:rsidRPr="008D17EA">
        <w:rPr>
          <w:sz w:val="18"/>
          <w:szCs w:val="18"/>
        </w:rPr>
        <w:t>: Aging demographics drive demand for retirement planning and employer-sponsored solutions.</w:t>
      </w:r>
    </w:p>
    <w:p w14:paraId="3B34415C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International Expansion</w:t>
      </w:r>
      <w:r w:rsidRPr="008D17EA">
        <w:rPr>
          <w:sz w:val="18"/>
          <w:szCs w:val="18"/>
        </w:rPr>
        <w:t>: Potential to enter emerging markets and diversify revenue streams.</w:t>
      </w:r>
    </w:p>
    <w:p w14:paraId="5EBC407C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lastRenderedPageBreak/>
        <w:t>🟥</w:t>
      </w:r>
      <w:r w:rsidRPr="008D17EA">
        <w:rPr>
          <w:sz w:val="20"/>
          <w:szCs w:val="20"/>
        </w:rPr>
        <w:t xml:space="preserve"> Threats</w:t>
      </w:r>
    </w:p>
    <w:p w14:paraId="7702BB9F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Intense Competition</w:t>
      </w:r>
      <w:r w:rsidRPr="008D17EA">
        <w:rPr>
          <w:sz w:val="18"/>
          <w:szCs w:val="18"/>
        </w:rPr>
        <w:t>: Pressure from Vanguard, BlackRock, Schwab, and fintech disruptors on pricing and innovation.</w:t>
      </w:r>
    </w:p>
    <w:p w14:paraId="3EE4B627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Compression</w:t>
      </w:r>
      <w:r w:rsidRPr="008D17EA">
        <w:rPr>
          <w:sz w:val="18"/>
          <w:szCs w:val="18"/>
        </w:rPr>
        <w:t>: Shift toward low-cost passive investing threatens margins on active products.</w:t>
      </w:r>
    </w:p>
    <w:p w14:paraId="672CC584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Market Volatility</w:t>
      </w:r>
      <w:r w:rsidRPr="008D17EA">
        <w:rPr>
          <w:sz w:val="18"/>
          <w:szCs w:val="18"/>
        </w:rPr>
        <w:t>: Economic downturns directly impact assets under management and revenue.</w:t>
      </w:r>
    </w:p>
    <w:p w14:paraId="3BA24081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Risks</w:t>
      </w:r>
      <w:r w:rsidRPr="008D17EA">
        <w:rPr>
          <w:sz w:val="18"/>
          <w:szCs w:val="18"/>
        </w:rPr>
        <w:t>: Exposure to data breaches and regulatory scrutiny due to digital infrastructure.</w:t>
      </w:r>
    </w:p>
    <w:p w14:paraId="68E83B07" w14:textId="6334D173" w:rsidR="00B72D51" w:rsidRPr="00A64E97" w:rsidRDefault="008D17EA" w:rsidP="00A64E97">
      <w:pPr>
        <w:pStyle w:val="ListParagraph"/>
        <w:numPr>
          <w:ilvl w:val="0"/>
          <w:numId w:val="43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SWAT iteration 2 #2 Chat GPT</w:t>
      </w:r>
    </w:p>
    <w:p w14:paraId="08ED3813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Below is a </w:t>
      </w:r>
      <w:r w:rsidRPr="008D17EA">
        <w:rPr>
          <w:rStyle w:val="Strong"/>
          <w:sz w:val="18"/>
          <w:szCs w:val="18"/>
        </w:rPr>
        <w:t>concise, professionally written SWOT analysis</w:t>
      </w:r>
      <w:r w:rsidRPr="008D17EA">
        <w:rPr>
          <w:sz w:val="18"/>
          <w:szCs w:val="18"/>
        </w:rPr>
        <w:t xml:space="preserve"> for </w:t>
      </w:r>
      <w:r w:rsidRPr="008D17EA">
        <w:rPr>
          <w:rStyle w:val="Strong"/>
          <w:sz w:val="18"/>
          <w:szCs w:val="18"/>
        </w:rPr>
        <w:t>Fidelity Investments</w:t>
      </w:r>
      <w:r w:rsidRPr="008D17EA">
        <w:rPr>
          <w:sz w:val="18"/>
          <w:szCs w:val="18"/>
        </w:rPr>
        <w:t xml:space="preserve">, with a focus on its </w:t>
      </w:r>
      <w:r w:rsidRPr="008D17EA">
        <w:rPr>
          <w:rStyle w:val="Strong"/>
          <w:sz w:val="18"/>
          <w:szCs w:val="18"/>
        </w:rPr>
        <w:t>market position</w:t>
      </w:r>
      <w:r w:rsidRPr="008D17EA">
        <w:rPr>
          <w:sz w:val="18"/>
          <w:szCs w:val="18"/>
        </w:rPr>
        <w:t xml:space="preserve"> in the U.S. financial services industry.</w:t>
      </w:r>
    </w:p>
    <w:p w14:paraId="0F8CE535" w14:textId="77777777" w:rsidR="008D17EA" w:rsidRPr="008D17EA" w:rsidRDefault="008D17EA" w:rsidP="008D17EA">
      <w:pPr>
        <w:rPr>
          <w:sz w:val="16"/>
          <w:szCs w:val="16"/>
        </w:rPr>
      </w:pPr>
      <w:r w:rsidRPr="008D17EA">
        <w:rPr>
          <w:sz w:val="16"/>
          <w:szCs w:val="16"/>
        </w:rPr>
        <w:pict w14:anchorId="47970D7C">
          <v:rect id="_x0000_i1053" style="width:0;height:1.5pt" o:hralign="center" o:hrstd="t" o:hr="t" fillcolor="#a0a0a0" stroked="f"/>
        </w:pict>
      </w:r>
    </w:p>
    <w:p w14:paraId="2B41CD7D" w14:textId="77777777" w:rsidR="008D17EA" w:rsidRPr="008D17EA" w:rsidRDefault="008D17EA" w:rsidP="008D17EA">
      <w:pPr>
        <w:pStyle w:val="Heading2"/>
        <w:rPr>
          <w:sz w:val="20"/>
          <w:szCs w:val="20"/>
        </w:rPr>
      </w:pPr>
      <w:r w:rsidRPr="008D17EA">
        <w:rPr>
          <w:rStyle w:val="Strong"/>
          <w:b w:val="0"/>
          <w:bCs w:val="0"/>
          <w:sz w:val="20"/>
          <w:szCs w:val="20"/>
        </w:rPr>
        <w:t>Fidelity Investments – SWOT Analysis (Market Position Focus)</w:t>
      </w:r>
    </w:p>
    <w:p w14:paraId="167506D6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Strengths</w:t>
      </w:r>
    </w:p>
    <w:p w14:paraId="2293EBBA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Strong Market Presence</w:t>
      </w:r>
      <w:r w:rsidRPr="008D17EA">
        <w:rPr>
          <w:sz w:val="18"/>
          <w:szCs w:val="18"/>
        </w:rPr>
        <w:t>: Among the top U.S. investment firms with trillions in assets under management and administration.</w:t>
      </w:r>
    </w:p>
    <w:p w14:paraId="1FC709F3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Broad Product Portfolio</w:t>
      </w:r>
      <w:r w:rsidRPr="008D17EA">
        <w:rPr>
          <w:sz w:val="18"/>
          <w:szCs w:val="18"/>
        </w:rPr>
        <w:t>: Offers diversified services—mutual funds, ETFs, brokerage, retirement planning, wealth management, and alternatives.</w:t>
      </w:r>
    </w:p>
    <w:p w14:paraId="31D57EC7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Established Brand Trust</w:t>
      </w:r>
      <w:r w:rsidRPr="008D17EA">
        <w:rPr>
          <w:sz w:val="18"/>
          <w:szCs w:val="18"/>
        </w:rPr>
        <w:t>: Long-standing reputation for stability, integrity, and investor-focused strategies.</w:t>
      </w:r>
    </w:p>
    <w:p w14:paraId="666D676A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Technological Innovation</w:t>
      </w:r>
      <w:r w:rsidRPr="008D17EA">
        <w:rPr>
          <w:sz w:val="18"/>
          <w:szCs w:val="18"/>
        </w:rPr>
        <w:t>: Advanced trading platforms, digital tools, and personalized investor insights enhance client engagement.</w:t>
      </w:r>
    </w:p>
    <w:p w14:paraId="0E254685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Private Ownership Advantage</w:t>
      </w:r>
      <w:r w:rsidRPr="008D17EA">
        <w:rPr>
          <w:sz w:val="18"/>
          <w:szCs w:val="18"/>
        </w:rPr>
        <w:t>: Greater strategic flexibility and long-term focus without public shareholder pressure.</w:t>
      </w:r>
    </w:p>
    <w:p w14:paraId="470F1D34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Weaknesses</w:t>
      </w:r>
    </w:p>
    <w:p w14:paraId="29E03945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Sensitivity in Active Products</w:t>
      </w:r>
      <w:r w:rsidRPr="008D17EA">
        <w:rPr>
          <w:sz w:val="18"/>
          <w:szCs w:val="18"/>
        </w:rPr>
        <w:t>: Higher expense ratios on some actively managed funds relative to low-cost passive competitors.</w:t>
      </w:r>
    </w:p>
    <w:p w14:paraId="1A01DCB1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Platform Complexity</w:t>
      </w:r>
      <w:r w:rsidRPr="008D17EA">
        <w:rPr>
          <w:sz w:val="18"/>
          <w:szCs w:val="18"/>
        </w:rPr>
        <w:t>: Broad service offerings can create user experience challenges, particularly for novice investors.</w:t>
      </w:r>
    </w:p>
    <w:p w14:paraId="547C36DC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Inconsistent Service Levels</w:t>
      </w:r>
      <w:r w:rsidRPr="008D17EA">
        <w:rPr>
          <w:sz w:val="18"/>
          <w:szCs w:val="18"/>
        </w:rPr>
        <w:t>: Variability in customer service quality may impact client satisfaction and retention.</w:t>
      </w:r>
    </w:p>
    <w:p w14:paraId="3C51777B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U.S.-Centric Focus</w:t>
      </w:r>
      <w:r w:rsidRPr="008D17EA">
        <w:rPr>
          <w:sz w:val="18"/>
          <w:szCs w:val="18"/>
        </w:rPr>
        <w:t>: Limited global footprint reduces exposure to international market growth opportunities.</w:t>
      </w:r>
    </w:p>
    <w:p w14:paraId="1C617032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Opportunities</w:t>
      </w:r>
    </w:p>
    <w:p w14:paraId="6119DEB7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ETF and Passive Investment Expansion</w:t>
      </w:r>
      <w:r w:rsidRPr="008D17EA">
        <w:rPr>
          <w:sz w:val="18"/>
          <w:szCs w:val="18"/>
        </w:rPr>
        <w:t>: Continued growth in low-cost investing offers potential to gain market share.</w:t>
      </w:r>
    </w:p>
    <w:p w14:paraId="3882074B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Digital Personalization</w:t>
      </w:r>
      <w:r w:rsidRPr="008D17EA">
        <w:rPr>
          <w:sz w:val="18"/>
          <w:szCs w:val="18"/>
        </w:rPr>
        <w:t>: Enhancing AI-driven financial tools and mobile experience to meet evolving investor expectations.</w:t>
      </w:r>
    </w:p>
    <w:p w14:paraId="6F5EA8E7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Market Growth</w:t>
      </w:r>
      <w:r w:rsidRPr="008D17EA">
        <w:rPr>
          <w:sz w:val="18"/>
          <w:szCs w:val="18"/>
        </w:rPr>
        <w:t>: Aging U.S. population increases demand for retirement planning and employer-sponsored plans.</w:t>
      </w:r>
    </w:p>
    <w:p w14:paraId="1D828BE6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and Thematic Investing</w:t>
      </w:r>
      <w:r w:rsidRPr="008D17EA">
        <w:rPr>
          <w:sz w:val="18"/>
          <w:szCs w:val="18"/>
        </w:rPr>
        <w:t>: Rising investor interest in sustainability opens avenues for new product development.</w:t>
      </w:r>
    </w:p>
    <w:p w14:paraId="343DB246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Advisor &amp; Institutional Solutions</w:t>
      </w:r>
      <w:r w:rsidRPr="008D17EA">
        <w:rPr>
          <w:sz w:val="18"/>
          <w:szCs w:val="18"/>
        </w:rPr>
        <w:t>: Strengthening offerings to financial advisors and institutions to deepen market penetration.</w:t>
      </w:r>
    </w:p>
    <w:p w14:paraId="3DECF85A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Threats</w:t>
      </w:r>
    </w:p>
    <w:p w14:paraId="47007521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Intensifying Competition</w:t>
      </w:r>
      <w:r w:rsidRPr="008D17EA">
        <w:rPr>
          <w:sz w:val="18"/>
          <w:szCs w:val="18"/>
        </w:rPr>
        <w:t>: Fee compression from rivals like Vanguard, Schwab, and fintech disruptors pressures margins.</w:t>
      </w:r>
    </w:p>
    <w:p w14:paraId="779A440F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Regulatory Complexity</w:t>
      </w:r>
      <w:r w:rsidRPr="008D17EA">
        <w:rPr>
          <w:sz w:val="18"/>
          <w:szCs w:val="18"/>
        </w:rPr>
        <w:t>: Heightened regulatory scrutiny may increase compliance costs and operational risk.</w:t>
      </w:r>
    </w:p>
    <w:p w14:paraId="7431E1D1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lastRenderedPageBreak/>
        <w:t>Market Volatility</w:t>
      </w:r>
      <w:r w:rsidRPr="008D17EA">
        <w:rPr>
          <w:sz w:val="18"/>
          <w:szCs w:val="18"/>
        </w:rPr>
        <w:t>: Downturns reduce AUM, trading volume, and investor confidence—impacting revenue streams.</w:t>
      </w:r>
    </w:p>
    <w:p w14:paraId="38B0FE32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Risk</w:t>
      </w:r>
      <w:r w:rsidRPr="008D17EA">
        <w:rPr>
          <w:sz w:val="18"/>
          <w:szCs w:val="18"/>
        </w:rPr>
        <w:t>: As a digital-first platform, Fidelity remains exposed to evolving cyber threats and data breaches.</w:t>
      </w:r>
    </w:p>
    <w:p w14:paraId="791493F6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Shifting Investor Behavior</w:t>
      </w:r>
      <w:r w:rsidRPr="008D17EA">
        <w:rPr>
          <w:sz w:val="18"/>
          <w:szCs w:val="18"/>
        </w:rPr>
        <w:t xml:space="preserve">: Preference for simplified, low-cost digital platforms may divert clients to emerging </w:t>
      </w:r>
      <w:proofErr w:type="spellStart"/>
      <w:r w:rsidRPr="008D17EA">
        <w:rPr>
          <w:sz w:val="18"/>
          <w:szCs w:val="18"/>
        </w:rPr>
        <w:t>fintechs</w:t>
      </w:r>
      <w:proofErr w:type="spellEnd"/>
      <w:r w:rsidRPr="008D17EA">
        <w:rPr>
          <w:sz w:val="18"/>
          <w:szCs w:val="18"/>
        </w:rPr>
        <w:t>.</w:t>
      </w:r>
    </w:p>
    <w:p w14:paraId="30AC6006" w14:textId="147BA937" w:rsidR="008D17EA" w:rsidRPr="00A64E97" w:rsidRDefault="008D17EA" w:rsidP="00A64E97">
      <w:pPr>
        <w:pStyle w:val="ListParagraph"/>
        <w:numPr>
          <w:ilvl w:val="0"/>
          <w:numId w:val="42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3 #1 Copilot</w:t>
      </w:r>
    </w:p>
    <w:p w14:paraId="01C1A40E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Here's a concise, professionally framed </w:t>
      </w:r>
      <w:r w:rsidRPr="008D17EA">
        <w:rPr>
          <w:rStyle w:val="Strong"/>
          <w:sz w:val="18"/>
          <w:szCs w:val="18"/>
        </w:rPr>
        <w:t>SWOT analysis for Fidelity Investments</w:t>
      </w:r>
      <w:r w:rsidRPr="008D17EA">
        <w:rPr>
          <w:sz w:val="18"/>
          <w:szCs w:val="18"/>
        </w:rPr>
        <w:t xml:space="preserve">, tailored for a candidate preparing for a market position interview. This version emphasizes how </w:t>
      </w:r>
      <w:r w:rsidRPr="008D17EA">
        <w:rPr>
          <w:rStyle w:val="Strong"/>
          <w:sz w:val="18"/>
          <w:szCs w:val="18"/>
        </w:rPr>
        <w:t>market analytics</w:t>
      </w:r>
      <w:r w:rsidRPr="008D17EA">
        <w:rPr>
          <w:sz w:val="18"/>
          <w:szCs w:val="18"/>
        </w:rPr>
        <w:t xml:space="preserve"> influence Fidelity’s strategic posture:</w:t>
      </w:r>
    </w:p>
    <w:p w14:paraId="7CBF4F7A" w14:textId="77777777" w:rsidR="008D17EA" w:rsidRPr="008D17EA" w:rsidRDefault="008D17EA" w:rsidP="008D17EA">
      <w:pPr>
        <w:pStyle w:val="Heading2"/>
        <w:rPr>
          <w:sz w:val="20"/>
          <w:szCs w:val="20"/>
        </w:rPr>
      </w:pPr>
      <w:r w:rsidRPr="008D17EA">
        <w:rPr>
          <w:rStyle w:val="Strong"/>
          <w:b w:val="0"/>
          <w:bCs w:val="0"/>
          <w:sz w:val="20"/>
          <w:szCs w:val="20"/>
        </w:rPr>
        <w:t>SWOT Analysis: Fidelity Investments – Market Position Focus</w:t>
      </w:r>
    </w:p>
    <w:p w14:paraId="5258E379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Strengths</w:t>
      </w:r>
    </w:p>
    <w:p w14:paraId="371B75F2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Strong Market Share &amp; AUM Growth</w:t>
      </w:r>
      <w:r w:rsidRPr="008D17EA">
        <w:rPr>
          <w:sz w:val="18"/>
          <w:szCs w:val="18"/>
        </w:rPr>
        <w:t xml:space="preserve"> Fidelity manages over $4 trillion in assets, reflecting robust client acquisition and retention driven by data-informed product strategies.</w:t>
      </w:r>
    </w:p>
    <w:p w14:paraId="3388885A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Diversified Product Portfolio</w:t>
      </w:r>
      <w:r w:rsidRPr="008D17EA">
        <w:rPr>
          <w:sz w:val="18"/>
          <w:szCs w:val="18"/>
        </w:rPr>
        <w:t xml:space="preserve"> Offers mutual funds, ETFs, retirement plans, brokerage, and wealth management—minimizing reliance on any single revenue stream and enabling cross-sell opportunities based on client segmentation analytics.</w:t>
      </w:r>
    </w:p>
    <w:p w14:paraId="17E3AA75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Advanced Data Infrastructure</w:t>
      </w:r>
      <w:r w:rsidRPr="008D17EA">
        <w:rPr>
          <w:sz w:val="18"/>
          <w:szCs w:val="18"/>
        </w:rPr>
        <w:t xml:space="preserve"> Leverages proprietary analytics to enhance trading platforms, personalize client experiences, and optimize advisor recommendations.</w:t>
      </w:r>
    </w:p>
    <w:p w14:paraId="140F021B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Brand Trust &amp; Longevity</w:t>
      </w:r>
      <w:r w:rsidRPr="008D17EA">
        <w:rPr>
          <w:sz w:val="18"/>
          <w:szCs w:val="18"/>
        </w:rPr>
        <w:t xml:space="preserve"> Decades of performance and high customer satisfaction scores position Fidelity as a trusted name, especially during volatile market cycles.</w:t>
      </w:r>
    </w:p>
    <w:p w14:paraId="1ED070BF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Weaknesses</w:t>
      </w:r>
    </w:p>
    <w:p w14:paraId="3D8205EF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Limited Global Penetration</w:t>
      </w:r>
      <w:r w:rsidRPr="008D17EA">
        <w:rPr>
          <w:sz w:val="18"/>
          <w:szCs w:val="18"/>
        </w:rPr>
        <w:t xml:space="preserve"> Market analytics show slower international expansion compared to peers, limiting exposure to high-growth regions.</w:t>
      </w:r>
    </w:p>
    <w:p w14:paraId="402A84A8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Higher Active Fund Costs</w:t>
      </w:r>
      <w:r w:rsidRPr="008D17EA">
        <w:rPr>
          <w:sz w:val="18"/>
          <w:szCs w:val="18"/>
        </w:rPr>
        <w:t xml:space="preserve"> Expense ratios on actively managed funds remain above industry benchmarks, which analytics indicate may deter cost-sensitive investors.</w:t>
      </w:r>
    </w:p>
    <w:p w14:paraId="3A2FEAE9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Complex User Experience</w:t>
      </w:r>
      <w:r w:rsidRPr="008D17EA">
        <w:rPr>
          <w:sz w:val="18"/>
          <w:szCs w:val="18"/>
        </w:rPr>
        <w:t xml:space="preserve"> Data reveals that platform complexity can hinder adoption among new investors, especially in mobile and self-directed segments.</w:t>
      </w:r>
    </w:p>
    <w:p w14:paraId="5B53CA3B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Service Consistency Challenges</w:t>
      </w:r>
      <w:r w:rsidRPr="008D17EA">
        <w:rPr>
          <w:sz w:val="18"/>
          <w:szCs w:val="18"/>
        </w:rPr>
        <w:t xml:space="preserve"> Customer feedback analytics highlight variability in service quality and technical reliability across channels.</w:t>
      </w:r>
    </w:p>
    <w:p w14:paraId="38820E41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Opportunities</w:t>
      </w:r>
    </w:p>
    <w:p w14:paraId="70699EC4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&amp; Sustainable Investing Demand</w:t>
      </w:r>
      <w:r w:rsidRPr="008D17EA">
        <w:rPr>
          <w:sz w:val="18"/>
          <w:szCs w:val="18"/>
        </w:rPr>
        <w:t xml:space="preserve"> Market trend analysis shows rising investor interest in ESG products—Fidelity can expand offerings and integrate sustainability metrics.</w:t>
      </w:r>
    </w:p>
    <w:p w14:paraId="1EFCA62A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Alternative Investment Expansion</w:t>
      </w:r>
      <w:r w:rsidRPr="008D17EA">
        <w:rPr>
          <w:sz w:val="18"/>
          <w:szCs w:val="18"/>
        </w:rPr>
        <w:t xml:space="preserve"> Analytics point to growing demand for private equity, credit, and model portfolios among high-net-worth clients.</w:t>
      </w:r>
    </w:p>
    <w:p w14:paraId="5D7F4E88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AI-Driven Personalization</w:t>
      </w:r>
      <w:r w:rsidRPr="008D17EA">
        <w:rPr>
          <w:sz w:val="18"/>
          <w:szCs w:val="18"/>
        </w:rPr>
        <w:t xml:space="preserve"> Fidelity can further leverage predictive analytics and AI to deliver tailored investment strategies and hybrid advisory models.</w:t>
      </w:r>
    </w:p>
    <w:p w14:paraId="77F496DD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Planning Growth</w:t>
      </w:r>
      <w:r w:rsidRPr="008D17EA">
        <w:rPr>
          <w:sz w:val="18"/>
          <w:szCs w:val="18"/>
        </w:rPr>
        <w:t xml:space="preserve"> Demographic data supports increased demand for retirement solutions, especially in employer-sponsored plans and rollover services.</w:t>
      </w:r>
    </w:p>
    <w:p w14:paraId="7D4C85DB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International Market Entry</w:t>
      </w:r>
      <w:r w:rsidRPr="008D17EA">
        <w:rPr>
          <w:sz w:val="18"/>
          <w:szCs w:val="18"/>
        </w:rPr>
        <w:t xml:space="preserve"> Market intelligence identifies untapped regions with rising investor activity, offering potential for geographic diversification.</w:t>
      </w:r>
    </w:p>
    <w:p w14:paraId="7BB82036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Threats</w:t>
      </w:r>
    </w:p>
    <w:p w14:paraId="61B8A8FB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Compression Trends</w:t>
      </w:r>
      <w:r w:rsidRPr="008D17EA">
        <w:rPr>
          <w:sz w:val="18"/>
          <w:szCs w:val="18"/>
        </w:rPr>
        <w:t xml:space="preserve"> Analytics show continued migration toward low-cost passive products, pressuring margins on active fund offerings.</w:t>
      </w:r>
    </w:p>
    <w:p w14:paraId="04379EA5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Competitive Disruption</w:t>
      </w:r>
      <w:r w:rsidRPr="008D17EA">
        <w:rPr>
          <w:sz w:val="18"/>
          <w:szCs w:val="18"/>
        </w:rPr>
        <w:t xml:space="preserve"> Fintech entrants and established players like Vanguard and Schwab are using data-driven platforms to capture market share.</w:t>
      </w:r>
    </w:p>
    <w:p w14:paraId="64CDE446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lastRenderedPageBreak/>
        <w:t>Market Volatility Impact</w:t>
      </w:r>
      <w:r w:rsidRPr="008D17EA">
        <w:rPr>
          <w:sz w:val="18"/>
          <w:szCs w:val="18"/>
        </w:rPr>
        <w:t xml:space="preserve"> AUM-linked revenue is sensitive to macroeconomic conditions; analytics forecast potential downturns affecting investor behavior.</w:t>
      </w:r>
    </w:p>
    <w:p w14:paraId="49BB4472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&amp; Regulatory Risk</w:t>
      </w:r>
      <w:r w:rsidRPr="008D17EA">
        <w:rPr>
          <w:sz w:val="18"/>
          <w:szCs w:val="18"/>
        </w:rPr>
        <w:t xml:space="preserve"> Data breaches and evolving compliance requirements pose reputational and financial risks, especially in digital channels.</w:t>
      </w:r>
    </w:p>
    <w:p w14:paraId="67175ACD" w14:textId="570B64D2" w:rsidR="008D17EA" w:rsidRPr="00A64E97" w:rsidRDefault="00663BD6" w:rsidP="00A64E97">
      <w:pPr>
        <w:pStyle w:val="ListParagraph"/>
        <w:numPr>
          <w:ilvl w:val="0"/>
          <w:numId w:val="41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3 #2 Chat GPT</w:t>
      </w:r>
    </w:p>
    <w:p w14:paraId="3AA9ACE9" w14:textId="77777777" w:rsidR="00663BD6" w:rsidRPr="00663BD6" w:rsidRDefault="00663BD6" w:rsidP="00663BD6">
      <w:pPr>
        <w:pStyle w:val="Heading2"/>
        <w:rPr>
          <w:sz w:val="20"/>
          <w:szCs w:val="20"/>
        </w:rPr>
      </w:pPr>
      <w:r w:rsidRPr="00663BD6">
        <w:rPr>
          <w:rStyle w:val="Strong"/>
          <w:b w:val="0"/>
          <w:bCs w:val="0"/>
          <w:sz w:val="20"/>
          <w:szCs w:val="20"/>
        </w:rPr>
        <w:t>Fidelity Investments – SWOT Analysis</w:t>
      </w:r>
    </w:p>
    <w:p w14:paraId="1A5B40A3" w14:textId="77777777" w:rsidR="00663BD6" w:rsidRPr="00663BD6" w:rsidRDefault="00663BD6" w:rsidP="00663BD6">
      <w:pPr>
        <w:pStyle w:val="NormalWeb"/>
        <w:rPr>
          <w:sz w:val="18"/>
          <w:szCs w:val="18"/>
        </w:rPr>
      </w:pPr>
      <w:r w:rsidRPr="00663BD6">
        <w:rPr>
          <w:rStyle w:val="Emphasis"/>
          <w:sz w:val="18"/>
          <w:szCs w:val="18"/>
        </w:rPr>
        <w:t>Focus: Market Position | Interview Candidate Perspective | Market Analytics Integration</w:t>
      </w:r>
    </w:p>
    <w:p w14:paraId="39CB6676" w14:textId="77777777" w:rsidR="00663BD6" w:rsidRPr="00663BD6" w:rsidRDefault="00663BD6" w:rsidP="00663BD6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54E63C5E">
          <v:rect id="_x0000_i1093" style="width:0;height:1.5pt" o:hralign="center" o:hrstd="t" o:hr="t" fillcolor="#a0a0a0" stroked="f"/>
        </w:pict>
      </w:r>
    </w:p>
    <w:p w14:paraId="4B268E04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Strengths</w:t>
      </w:r>
    </w:p>
    <w:p w14:paraId="2122FE6E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Industry-Leading Market Position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 manages over $12 trillion in assets under administration, positioning it as a top U.S. investment firm.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analytics show consistent AUM growth outpacing some competitors, supporting revenue scalability.</w:t>
      </w:r>
    </w:p>
    <w:p w14:paraId="568786AB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Diversified Financial Products &amp; Services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Offers mutual funds, ETFs, brokerage, retirement, and wealth management solutions.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segmentation analytics inform tailored offerings across retail, institutional, and advisor channels.</w:t>
      </w:r>
    </w:p>
    <w:p w14:paraId="28463D9E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Brand Equity &amp; Customer Loyalty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High client retention and brand trust, supported by data-driven customer experience enhancements.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Analytics on user behavior guide digital platform upgrades, increasing engagement and satisfaction.</w:t>
      </w:r>
    </w:p>
    <w:p w14:paraId="29B694AA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Data-Driven Technology Investment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Leverages predictive analytics and AI tools to improve self-directed investing and advisor services.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Fidelity’s Active Trader Pro and personalized dashboards are market differentiators.</w:t>
      </w:r>
    </w:p>
    <w:p w14:paraId="5C72156C" w14:textId="77777777" w:rsidR="00663BD6" w:rsidRPr="00663BD6" w:rsidRDefault="00663BD6" w:rsidP="00663BD6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1FA6D47E">
          <v:rect id="_x0000_i1094" style="width:0;height:1.5pt" o:hralign="center" o:hrstd="t" o:hr="t" fillcolor="#a0a0a0" stroked="f"/>
        </w:pict>
      </w:r>
    </w:p>
    <w:p w14:paraId="1FACBE02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Weaknesses</w:t>
      </w:r>
    </w:p>
    <w:p w14:paraId="41020A2C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Competitiveness in Active Funds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Expense ratios for some actively managed funds remain higher than index alternatives.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benchmarking data shows passive fund inflows are outpacing active fund performance.</w:t>
      </w:r>
    </w:p>
    <w:p w14:paraId="064D23B6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Complex User Experience for Novice Investors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Broad product range can overwhelm less experienced users.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Usability analytics highlight friction points in onboarding and navigation, especially on mobile.</w:t>
      </w:r>
    </w:p>
    <w:p w14:paraId="585FBBE8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Service Inconsistency Across Channels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Customer service quality can vary by region or segment.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Sentiment analysis from client feedback identifies service gaps, particularly during high-volume periods.</w:t>
      </w:r>
    </w:p>
    <w:p w14:paraId="6BB8955C" w14:textId="77777777" w:rsidR="00663BD6" w:rsidRPr="00663BD6" w:rsidRDefault="00663BD6" w:rsidP="00663BD6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5E32A04A">
          <v:rect id="_x0000_i1095" style="width:0;height:1.5pt" o:hralign="center" o:hrstd="t" o:hr="t" fillcolor="#a0a0a0" stroked="f"/>
        </w:pict>
      </w:r>
    </w:p>
    <w:p w14:paraId="2346E1B6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Opportunities</w:t>
      </w:r>
    </w:p>
    <w:p w14:paraId="714DBD2F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in Passive and Thematic ETFs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Increasing demand for low-cost, index-based, and theme-driven funds (e.g., AI, ESG).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trend analysis indicates strong inflows into ETFs, with room for Fidelity to expand offerings.</w:t>
      </w:r>
    </w:p>
    <w:p w14:paraId="4E5FAB82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Personalization and AI Integration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High growth in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>-advisory and AI-powered planning tools.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Behavioral analytics enable Fidelity to deliver customized investment guidance at scale.</w:t>
      </w:r>
    </w:p>
    <w:p w14:paraId="474388BF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Rising Retirement Planning Demand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Demographic data forecasts increased need for 401(k) and IRA services.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Employer plan analytics help Fidelity target underserved sectors and SMB markets.</w:t>
      </w:r>
    </w:p>
    <w:p w14:paraId="04E1DE28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Advisor &amp; Institutional Solutions Growth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Demand for outsourced CIO and model portfolio solutions is growing.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 can leverage portfolio analytics to provide value-added services to RIAs and institutions.</w:t>
      </w:r>
    </w:p>
    <w:p w14:paraId="6814650B" w14:textId="77777777" w:rsidR="00663BD6" w:rsidRPr="00663BD6" w:rsidRDefault="00663BD6" w:rsidP="00663BD6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573C31C4">
          <v:rect id="_x0000_i1096" style="width:0;height:1.5pt" o:hralign="center" o:hrstd="t" o:hr="t" fillcolor="#a0a0a0" stroked="f"/>
        </w:pict>
      </w:r>
    </w:p>
    <w:p w14:paraId="71753FE5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Threats</w:t>
      </w:r>
    </w:p>
    <w:p w14:paraId="3A21196C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 and Competitive Pressure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Vanguard and Schwab continue to drive industry-wide price reductions.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Competitive intelligence tools show downward pressure on advisory and product fees.</w:t>
      </w:r>
    </w:p>
    <w:p w14:paraId="22D906FF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Shifts and Legal Risks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Increased scrutiny from SEC and DOL on fiduciary standards and product suitability.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Compliance analytics are critical to monitoring risk exposure and maintaining governance standards.</w:t>
      </w:r>
    </w:p>
    <w:p w14:paraId="7AEE3867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and Macroeconomic Risk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Fluctuations in interest rates, inflation, and equity markets impact AUM and investor activity.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Economic forecasting tools help Fidelity manage portfolio risk and asset allocation strategies.</w:t>
      </w:r>
    </w:p>
    <w:p w14:paraId="1FF6CA78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and Data Privacy Concerns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Rising threat of breaches can damage trust and trigger regulatory action.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Threat analytics and real-time monitoring are essential to protect client data and system integrity.</w:t>
      </w:r>
    </w:p>
    <w:p w14:paraId="59C22B98" w14:textId="77777777" w:rsidR="00663BD6" w:rsidRPr="00663BD6" w:rsidRDefault="00663BD6" w:rsidP="00663BD6">
      <w:pPr>
        <w:rPr>
          <w:sz w:val="16"/>
          <w:szCs w:val="16"/>
        </w:rPr>
      </w:pPr>
      <w:r w:rsidRPr="00663BD6">
        <w:rPr>
          <w:sz w:val="16"/>
          <w:szCs w:val="16"/>
        </w:rPr>
        <w:pict w14:anchorId="3B4E01D9">
          <v:rect id="_x0000_i1097" style="width:0;height:1.5pt" o:hralign="center" o:hrstd="t" o:hr="t" fillcolor="#a0a0a0" stroked="f"/>
        </w:pict>
      </w:r>
    </w:p>
    <w:p w14:paraId="090F436F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Interview Tip:</w:t>
      </w:r>
    </w:p>
    <w:p w14:paraId="7EE52877" w14:textId="7430AAFF" w:rsidR="00663BD6" w:rsidRDefault="00663BD6" w:rsidP="00663BD6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Be prepared to discuss how </w:t>
      </w:r>
      <w:r w:rsidRPr="00663BD6">
        <w:rPr>
          <w:rStyle w:val="Strong"/>
          <w:sz w:val="18"/>
          <w:szCs w:val="18"/>
        </w:rPr>
        <w:t>market analytics</w:t>
      </w:r>
      <w:r w:rsidRPr="00663BD6">
        <w:rPr>
          <w:sz w:val="18"/>
          <w:szCs w:val="18"/>
        </w:rPr>
        <w:t xml:space="preserve"> (e.g., AUM trends, investor sentiment, product performance data) help drive strategic decisions at Fidelity. Emphasize how data informs product innovation, customer engagement, and risk managemen</w:t>
      </w:r>
      <w:r>
        <w:rPr>
          <w:sz w:val="18"/>
          <w:szCs w:val="18"/>
        </w:rPr>
        <w:t>t</w:t>
      </w:r>
    </w:p>
    <w:p w14:paraId="0A1CDCF8" w14:textId="3CC80EB1" w:rsidR="00663BD6" w:rsidRPr="00663BD6" w:rsidRDefault="00663BD6" w:rsidP="00A64E97">
      <w:pPr>
        <w:pStyle w:val="NormalWeb"/>
        <w:numPr>
          <w:ilvl w:val="0"/>
          <w:numId w:val="40"/>
        </w:numPr>
        <w:rPr>
          <w:b/>
          <w:bCs/>
          <w:sz w:val="28"/>
          <w:szCs w:val="28"/>
        </w:rPr>
      </w:pPr>
      <w:r w:rsidRPr="00663BD6">
        <w:rPr>
          <w:b/>
          <w:bCs/>
          <w:sz w:val="28"/>
          <w:szCs w:val="28"/>
        </w:rPr>
        <w:t>Compared results</w:t>
      </w:r>
    </w:p>
    <w:p w14:paraId="61E868CD" w14:textId="247DA25E" w:rsidR="00663BD6" w:rsidRDefault="00663BD6" w:rsidP="00663BD6">
      <w:pPr>
        <w:pStyle w:val="NormalWeb"/>
      </w:pPr>
      <w:r>
        <w:t>In my opinion, the LLM that fits the results I personally look for is ChatGPT. ChatGPT is straightforward with its prompting and doesn't add much flavor to its vocabulary. However, I would never copy an LLM word for word. That's simply unwise, and even more than that, I believe LLMs are best used as tools that provide concise, bulleted answers, from which we as users can pull information to build a case. For this reason, I chose ChatGPT.</w:t>
      </w:r>
    </w:p>
    <w:p w14:paraId="02CAC725" w14:textId="245FE49E" w:rsidR="00663BD6" w:rsidRPr="00663BD6" w:rsidRDefault="00663BD6" w:rsidP="00663BD6">
      <w:pPr>
        <w:pStyle w:val="NormalWeb"/>
        <w:numPr>
          <w:ilvl w:val="0"/>
          <w:numId w:val="39"/>
        </w:numPr>
        <w:rPr>
          <w:b/>
          <w:bCs/>
          <w:sz w:val="32"/>
          <w:szCs w:val="32"/>
        </w:rPr>
      </w:pPr>
      <w:r w:rsidRPr="00663BD6">
        <w:rPr>
          <w:b/>
          <w:bCs/>
          <w:sz w:val="32"/>
          <w:szCs w:val="32"/>
        </w:rPr>
        <w:t>Final SWOT</w:t>
      </w:r>
    </w:p>
    <w:p w14:paraId="72C0E7BC" w14:textId="77777777" w:rsidR="00663BD6" w:rsidRPr="00663BD6" w:rsidRDefault="00663BD6" w:rsidP="00663BD6">
      <w:pPr>
        <w:pStyle w:val="NormalWeb"/>
      </w:pPr>
      <w:r w:rsidRPr="00663BD6">
        <w:rPr>
          <w:rStyle w:val="Emphasis"/>
        </w:rPr>
        <w:t>Focus: Market Position | Interview Candidate Perspective | Market Analytics Integration</w:t>
      </w:r>
    </w:p>
    <w:p w14:paraId="6D870A76" w14:textId="77777777" w:rsidR="00663BD6" w:rsidRPr="00663BD6" w:rsidRDefault="00663BD6" w:rsidP="00663BD6">
      <w:r w:rsidRPr="00663BD6">
        <w:pict w14:anchorId="0E32C80F">
          <v:rect id="_x0000_i1118" style="width:0;height:1.5pt" o:hralign="center" o:hrstd="t" o:hr="t" fillcolor="#a0a0a0" stroked="f"/>
        </w:pict>
      </w:r>
    </w:p>
    <w:p w14:paraId="70A931BF" w14:textId="77777777" w:rsidR="00663BD6" w:rsidRPr="00663BD6" w:rsidRDefault="00663BD6" w:rsidP="00663BD6">
      <w:pPr>
        <w:pStyle w:val="Heading3"/>
        <w:rPr>
          <w:sz w:val="28"/>
          <w:szCs w:val="28"/>
        </w:rPr>
      </w:pPr>
      <w:r w:rsidRPr="00663BD6">
        <w:rPr>
          <w:rStyle w:val="Strong"/>
          <w:b/>
          <w:bCs/>
          <w:sz w:val="28"/>
          <w:szCs w:val="28"/>
        </w:rPr>
        <w:t>Strengths</w:t>
      </w:r>
    </w:p>
    <w:p w14:paraId="25E66759" w14:textId="77777777" w:rsidR="00663BD6" w:rsidRPr="00663BD6" w:rsidRDefault="00663BD6" w:rsidP="00663BD6">
      <w:pPr>
        <w:pStyle w:val="NormalWeb"/>
        <w:numPr>
          <w:ilvl w:val="0"/>
          <w:numId w:val="35"/>
        </w:numPr>
      </w:pPr>
      <w:r w:rsidRPr="00663BD6">
        <w:rPr>
          <w:rStyle w:val="Strong"/>
        </w:rPr>
        <w:t>Industry-Leading Market Position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Fidelity manages over $12 trillion in assets under administration, positioning it as a top U.S. investment firm.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Market analytics show consistent AUM growth outpacing some competitors, supporting revenue scalability.</w:t>
      </w:r>
    </w:p>
    <w:p w14:paraId="131777A8" w14:textId="77777777" w:rsidR="00663BD6" w:rsidRPr="00663BD6" w:rsidRDefault="00663BD6" w:rsidP="00663BD6">
      <w:pPr>
        <w:pStyle w:val="NormalWeb"/>
        <w:numPr>
          <w:ilvl w:val="0"/>
          <w:numId w:val="35"/>
        </w:numPr>
      </w:pPr>
      <w:r w:rsidRPr="00663BD6">
        <w:rPr>
          <w:rStyle w:val="Strong"/>
        </w:rPr>
        <w:lastRenderedPageBreak/>
        <w:t>Diversified Financial Products &amp; Services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Offers mutual funds, ETFs, brokerage, retirement, and wealth management solutions.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Market segmentation analytics inform tailored offerings across retail, institutional, and advisor channels.</w:t>
      </w:r>
    </w:p>
    <w:p w14:paraId="065635F6" w14:textId="77777777" w:rsidR="00663BD6" w:rsidRPr="00663BD6" w:rsidRDefault="00663BD6" w:rsidP="00663BD6">
      <w:pPr>
        <w:pStyle w:val="NormalWeb"/>
        <w:numPr>
          <w:ilvl w:val="0"/>
          <w:numId w:val="35"/>
        </w:numPr>
      </w:pPr>
      <w:r w:rsidRPr="00663BD6">
        <w:rPr>
          <w:rStyle w:val="Strong"/>
        </w:rPr>
        <w:t>Strong Brand Equity &amp; Customer Loyalty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High client retention and brand trust, supported by data-driven customer experience enhancements.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Analytics on user behavior guide digital platform upgrades, increasing engagement and satisfaction.</w:t>
      </w:r>
    </w:p>
    <w:p w14:paraId="3460CE3F" w14:textId="77777777" w:rsidR="00663BD6" w:rsidRPr="00663BD6" w:rsidRDefault="00663BD6" w:rsidP="00663BD6">
      <w:pPr>
        <w:pStyle w:val="NormalWeb"/>
        <w:numPr>
          <w:ilvl w:val="0"/>
          <w:numId w:val="35"/>
        </w:numPr>
      </w:pPr>
      <w:r w:rsidRPr="00663BD6">
        <w:rPr>
          <w:rStyle w:val="Strong"/>
        </w:rPr>
        <w:t>Data-Driven Technology Investment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Leverages predictive analytics and AI tools to improve self-directed investing and advisor services.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Fidelity’s Active Trader Pro and personalized dashboards are market differentiators.</w:t>
      </w:r>
    </w:p>
    <w:p w14:paraId="00D5235A" w14:textId="77777777" w:rsidR="00663BD6" w:rsidRPr="00663BD6" w:rsidRDefault="00663BD6" w:rsidP="00663BD6">
      <w:r w:rsidRPr="00663BD6">
        <w:pict w14:anchorId="4D318EDD">
          <v:rect id="_x0000_i1119" style="width:0;height:1.5pt" o:hralign="center" o:hrstd="t" o:hr="t" fillcolor="#a0a0a0" stroked="f"/>
        </w:pict>
      </w:r>
    </w:p>
    <w:p w14:paraId="0BB9ECB8" w14:textId="77777777" w:rsidR="00663BD6" w:rsidRPr="00663BD6" w:rsidRDefault="00663BD6" w:rsidP="00663BD6">
      <w:pPr>
        <w:pStyle w:val="Heading3"/>
        <w:rPr>
          <w:sz w:val="28"/>
          <w:szCs w:val="28"/>
        </w:rPr>
      </w:pPr>
      <w:r w:rsidRPr="00663BD6">
        <w:rPr>
          <w:rStyle w:val="Strong"/>
          <w:b/>
          <w:bCs/>
          <w:sz w:val="28"/>
          <w:szCs w:val="28"/>
        </w:rPr>
        <w:t>Weaknesses</w:t>
      </w:r>
    </w:p>
    <w:p w14:paraId="76BB0B16" w14:textId="77777777" w:rsidR="00663BD6" w:rsidRPr="00663BD6" w:rsidRDefault="00663BD6" w:rsidP="00663BD6">
      <w:pPr>
        <w:pStyle w:val="NormalWeb"/>
        <w:numPr>
          <w:ilvl w:val="0"/>
          <w:numId w:val="36"/>
        </w:numPr>
      </w:pPr>
      <w:r w:rsidRPr="00663BD6">
        <w:rPr>
          <w:rStyle w:val="Strong"/>
        </w:rPr>
        <w:t>Fee Competitiveness in Active Funds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Expense ratios for some actively managed funds remain higher than index alternatives.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Market benchmarking data shows passive fund inflows are outpacing active fund performance.</w:t>
      </w:r>
    </w:p>
    <w:p w14:paraId="00A531D6" w14:textId="77777777" w:rsidR="00663BD6" w:rsidRPr="00663BD6" w:rsidRDefault="00663BD6" w:rsidP="00663BD6">
      <w:pPr>
        <w:pStyle w:val="NormalWeb"/>
        <w:numPr>
          <w:ilvl w:val="0"/>
          <w:numId w:val="36"/>
        </w:numPr>
      </w:pPr>
      <w:r w:rsidRPr="00663BD6">
        <w:rPr>
          <w:rStyle w:val="Strong"/>
        </w:rPr>
        <w:t>Complex User Experience for Novice Investors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Broad product range can overwhelm less experienced users.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Usability analytics highlight friction points in onboarding and navigation, especially on mobile.</w:t>
      </w:r>
    </w:p>
    <w:p w14:paraId="5C758AB9" w14:textId="77777777" w:rsidR="00663BD6" w:rsidRPr="00663BD6" w:rsidRDefault="00663BD6" w:rsidP="00663BD6">
      <w:pPr>
        <w:pStyle w:val="NormalWeb"/>
        <w:numPr>
          <w:ilvl w:val="0"/>
          <w:numId w:val="36"/>
        </w:numPr>
      </w:pPr>
      <w:r w:rsidRPr="00663BD6">
        <w:rPr>
          <w:rStyle w:val="Strong"/>
        </w:rPr>
        <w:t>Service Inconsistency Across Channels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Customer service quality can vary by region or segment.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Sentiment analysis from client feedback identifies service gaps, particularly during high-volume periods.</w:t>
      </w:r>
    </w:p>
    <w:p w14:paraId="2457CCF4" w14:textId="77777777" w:rsidR="00663BD6" w:rsidRPr="00663BD6" w:rsidRDefault="00663BD6" w:rsidP="00663BD6">
      <w:r w:rsidRPr="00663BD6">
        <w:pict w14:anchorId="01428819">
          <v:rect id="_x0000_i1120" style="width:0;height:1.5pt" o:hralign="center" o:hrstd="t" o:hr="t" fillcolor="#a0a0a0" stroked="f"/>
        </w:pict>
      </w:r>
    </w:p>
    <w:p w14:paraId="575E613D" w14:textId="77777777" w:rsidR="00663BD6" w:rsidRPr="00663BD6" w:rsidRDefault="00663BD6" w:rsidP="00663BD6">
      <w:pPr>
        <w:pStyle w:val="Heading3"/>
        <w:rPr>
          <w:sz w:val="28"/>
          <w:szCs w:val="28"/>
        </w:rPr>
      </w:pPr>
      <w:r w:rsidRPr="00663BD6">
        <w:rPr>
          <w:rStyle w:val="Strong"/>
          <w:b/>
          <w:bCs/>
          <w:sz w:val="28"/>
          <w:szCs w:val="28"/>
        </w:rPr>
        <w:t>Opportunities</w:t>
      </w:r>
    </w:p>
    <w:p w14:paraId="5AC54EA1" w14:textId="77777777" w:rsidR="00663BD6" w:rsidRPr="00663BD6" w:rsidRDefault="00663BD6" w:rsidP="00663BD6">
      <w:pPr>
        <w:pStyle w:val="NormalWeb"/>
        <w:numPr>
          <w:ilvl w:val="0"/>
          <w:numId w:val="37"/>
        </w:numPr>
      </w:pPr>
      <w:r w:rsidRPr="00663BD6">
        <w:rPr>
          <w:rStyle w:val="Strong"/>
        </w:rPr>
        <w:t>Expansion in Passive and Thematic ETFs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Increasing demand for low-cost, index-based, and theme-driven funds (e.g., AI, ESG).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Market trend analysis indicates strong inflows into ETFs, with room for Fidelity to expand offerings.</w:t>
      </w:r>
    </w:p>
    <w:p w14:paraId="619DBEA0" w14:textId="77777777" w:rsidR="00663BD6" w:rsidRDefault="00663BD6" w:rsidP="00663BD6">
      <w:pPr>
        <w:pStyle w:val="NormalWeb"/>
        <w:numPr>
          <w:ilvl w:val="0"/>
          <w:numId w:val="37"/>
        </w:numPr>
      </w:pPr>
      <w:r w:rsidRPr="00663BD6">
        <w:rPr>
          <w:rStyle w:val="Strong"/>
        </w:rPr>
        <w:t>Digital Personalization and AI Integration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High growth in </w:t>
      </w:r>
      <w:proofErr w:type="spellStart"/>
      <w:r w:rsidRPr="00663BD6">
        <w:t>robo</w:t>
      </w:r>
      <w:proofErr w:type="spellEnd"/>
      <w:r w:rsidRPr="00663BD6">
        <w:t>-advisory and AI-powered planning tools.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Behavioral analytics enable Fidelity to deliver customized investment guidance at </w:t>
      </w:r>
      <w:proofErr w:type="spellStart"/>
      <w:proofErr w:type="gramStart"/>
      <w:r w:rsidRPr="00663BD6">
        <w:t>scale.</w:t>
      </w:r>
      <w:r>
        <w:t>Focus</w:t>
      </w:r>
      <w:proofErr w:type="spellEnd"/>
      <w:proofErr w:type="gramEnd"/>
      <w:r>
        <w:t>: Market Position | Interview Candidate Perspective | Market Analytics Integration</w:t>
      </w:r>
    </w:p>
    <w:p w14:paraId="4B7D64F8" w14:textId="77777777" w:rsidR="00663BD6" w:rsidRDefault="00663BD6" w:rsidP="00663BD6">
      <w:pPr>
        <w:pStyle w:val="NormalWeb"/>
        <w:numPr>
          <w:ilvl w:val="0"/>
          <w:numId w:val="37"/>
        </w:numPr>
      </w:pPr>
    </w:p>
    <w:p w14:paraId="5FD29DF0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Strengths</w:t>
      </w:r>
    </w:p>
    <w:p w14:paraId="12F187DB" w14:textId="77777777" w:rsidR="00663BD6" w:rsidRDefault="00663BD6" w:rsidP="00663BD6">
      <w:pPr>
        <w:pStyle w:val="NormalWeb"/>
        <w:numPr>
          <w:ilvl w:val="0"/>
          <w:numId w:val="37"/>
        </w:numPr>
      </w:pPr>
      <w:r>
        <w:lastRenderedPageBreak/>
        <w:t>• Industry-Leading Market Position</w:t>
      </w:r>
      <w:r>
        <w:br/>
      </w:r>
      <w:r>
        <w:rPr>
          <w:rFonts w:ascii="Cambria Math" w:hAnsi="Cambria Math" w:cs="Cambria Math"/>
        </w:rPr>
        <w:t>▸</w:t>
      </w:r>
      <w:r>
        <w:t xml:space="preserve"> Fidelity manages over $12 trillion in assets under administration, making it a top U.S. investment firm.</w:t>
      </w:r>
      <w:r>
        <w:br/>
      </w:r>
      <w:r>
        <w:rPr>
          <w:rFonts w:ascii="Cambria Math" w:hAnsi="Cambria Math" w:cs="Cambria Math"/>
        </w:rPr>
        <w:t>▸</w:t>
      </w:r>
      <w:r>
        <w:t xml:space="preserve"> Market analytics show steady AUM growth that outpaces some competitors, supporting revenue growth.</w:t>
      </w:r>
    </w:p>
    <w:p w14:paraId="57EDF63F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Diversified Financial Products &amp; Services</w:t>
      </w:r>
      <w:r>
        <w:br/>
      </w:r>
      <w:r>
        <w:rPr>
          <w:rFonts w:ascii="Cambria Math" w:hAnsi="Cambria Math" w:cs="Cambria Math"/>
        </w:rPr>
        <w:t>▸</w:t>
      </w:r>
      <w:r>
        <w:t xml:space="preserve"> Offers mutual funds, ETFs, brokerage, retirement, and wealth management solutions.</w:t>
      </w:r>
      <w:r>
        <w:br/>
      </w:r>
      <w:r>
        <w:rPr>
          <w:rFonts w:ascii="Cambria Math" w:hAnsi="Cambria Math" w:cs="Cambria Math"/>
        </w:rPr>
        <w:t>▸</w:t>
      </w:r>
      <w:r>
        <w:t xml:space="preserve"> Market segmentation analytics help tailor offerings across retail, institutional, and advisor channels.</w:t>
      </w:r>
    </w:p>
    <w:p w14:paraId="73070E5C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Strong Brand Equity &amp; Customer Loyalty</w:t>
      </w:r>
      <w:r>
        <w:br/>
      </w:r>
      <w:r>
        <w:rPr>
          <w:rFonts w:ascii="Cambria Math" w:hAnsi="Cambria Math" w:cs="Cambria Math"/>
        </w:rPr>
        <w:t>▸</w:t>
      </w:r>
      <w:r>
        <w:t xml:space="preserve"> High client retention and brand trust, boosted by data-driven customer experience improvements.</w:t>
      </w:r>
      <w:r>
        <w:br/>
      </w:r>
      <w:r>
        <w:rPr>
          <w:rFonts w:ascii="Cambria Math" w:hAnsi="Cambria Math" w:cs="Cambria Math"/>
        </w:rPr>
        <w:t>▸</w:t>
      </w:r>
      <w:r>
        <w:t xml:space="preserve"> Analytics on user activity guide digital platform upgrades, increasing engagement and satisfaction.</w:t>
      </w:r>
    </w:p>
    <w:p w14:paraId="6EA357B5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Data-Driven Technology Investments</w:t>
      </w:r>
      <w:r>
        <w:br/>
      </w:r>
      <w:r>
        <w:rPr>
          <w:rFonts w:ascii="Cambria Math" w:hAnsi="Cambria Math" w:cs="Cambria Math"/>
        </w:rPr>
        <w:t>▸</w:t>
      </w:r>
      <w:r>
        <w:t xml:space="preserve"> Uses predictive analytics and AI tools to enhance self-directed investing and advisor services.</w:t>
      </w:r>
      <w:r>
        <w:br/>
      </w:r>
      <w:r>
        <w:rPr>
          <w:rFonts w:ascii="Cambria Math" w:hAnsi="Cambria Math" w:cs="Cambria Math"/>
        </w:rPr>
        <w:t>▸</w:t>
      </w:r>
      <w:r>
        <w:t xml:space="preserve"> Fidelity’s Active Trader Pro and custom dashboards are key market differentiators.</w:t>
      </w:r>
    </w:p>
    <w:p w14:paraId="4AAB4868" w14:textId="77777777" w:rsidR="00663BD6" w:rsidRDefault="00663BD6" w:rsidP="00663BD6">
      <w:pPr>
        <w:pStyle w:val="NormalWeb"/>
        <w:numPr>
          <w:ilvl w:val="0"/>
          <w:numId w:val="37"/>
        </w:numPr>
      </w:pPr>
    </w:p>
    <w:p w14:paraId="777738E0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Weaknesses</w:t>
      </w:r>
    </w:p>
    <w:p w14:paraId="79733361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Fee Competitiveness in Active Funds</w:t>
      </w:r>
      <w:r>
        <w:br/>
      </w:r>
      <w:r>
        <w:rPr>
          <w:rFonts w:ascii="Cambria Math" w:hAnsi="Cambria Math" w:cs="Cambria Math"/>
        </w:rPr>
        <w:t>▸</w:t>
      </w:r>
      <w:r>
        <w:t xml:space="preserve"> Expense ratios for some actively managed funds remain higher than index alternatives.</w:t>
      </w:r>
      <w:r>
        <w:br/>
      </w:r>
      <w:r>
        <w:rPr>
          <w:rFonts w:ascii="Cambria Math" w:hAnsi="Cambria Math" w:cs="Cambria Math"/>
        </w:rPr>
        <w:t>▸</w:t>
      </w:r>
      <w:r>
        <w:t xml:space="preserve"> Market benchmarking data shows passive fund inflows are surpassing active fund performance.</w:t>
      </w:r>
    </w:p>
    <w:p w14:paraId="3ADEE953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Complex User Experience for Novice Investors</w:t>
      </w:r>
      <w:r>
        <w:br/>
      </w:r>
      <w:r>
        <w:rPr>
          <w:rFonts w:ascii="Cambria Math" w:hAnsi="Cambria Math" w:cs="Cambria Math"/>
        </w:rPr>
        <w:t>▸</w:t>
      </w:r>
      <w:r>
        <w:t xml:space="preserve"> The broad product range can overwhelm less experienced users.</w:t>
      </w:r>
      <w:r>
        <w:br/>
      </w:r>
      <w:r>
        <w:rPr>
          <w:rFonts w:ascii="Cambria Math" w:hAnsi="Cambria Math" w:cs="Cambria Math"/>
        </w:rPr>
        <w:t>▸</w:t>
      </w:r>
      <w:r>
        <w:t xml:space="preserve"> Usability analytics reveal friction points in onboarding and navigation, especially on mobile devices.</w:t>
      </w:r>
    </w:p>
    <w:p w14:paraId="1D7D51FB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Service Variability Across Channels</w:t>
      </w:r>
      <w:r>
        <w:br/>
      </w:r>
      <w:r>
        <w:rPr>
          <w:rFonts w:ascii="Cambria Math" w:hAnsi="Cambria Math" w:cs="Cambria Math"/>
        </w:rPr>
        <w:t>▸</w:t>
      </w:r>
      <w:r>
        <w:t xml:space="preserve"> Customer service quality can differ by region or segment.</w:t>
      </w:r>
      <w:r>
        <w:br/>
      </w:r>
      <w:r>
        <w:rPr>
          <w:rFonts w:ascii="Cambria Math" w:hAnsi="Cambria Math" w:cs="Cambria Math"/>
        </w:rPr>
        <w:t>▸</w:t>
      </w:r>
      <w:r>
        <w:t xml:space="preserve"> Sentiment analysis from client feedback uncovers service gaps, especially during busy periods.</w:t>
      </w:r>
    </w:p>
    <w:p w14:paraId="1375806B" w14:textId="77777777" w:rsidR="00663BD6" w:rsidRDefault="00663BD6" w:rsidP="00663BD6">
      <w:pPr>
        <w:pStyle w:val="NormalWeb"/>
        <w:numPr>
          <w:ilvl w:val="0"/>
          <w:numId w:val="37"/>
        </w:numPr>
      </w:pPr>
    </w:p>
    <w:p w14:paraId="3F9B6F59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Opportunities</w:t>
      </w:r>
    </w:p>
    <w:p w14:paraId="1E97ABA5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Expansion in Passive and Thematic ETFs</w:t>
      </w:r>
      <w:r>
        <w:br/>
      </w:r>
      <w:r>
        <w:rPr>
          <w:rFonts w:ascii="Cambria Math" w:hAnsi="Cambria Math" w:cs="Cambria Math"/>
        </w:rPr>
        <w:t>▸</w:t>
      </w:r>
      <w:r>
        <w:t xml:space="preserve"> Growing demand for low-cost, index-based, and theme-driven funds (e.g., AI, ESG).</w:t>
      </w:r>
      <w:r>
        <w:br/>
      </w:r>
      <w:r>
        <w:rPr>
          <w:rFonts w:ascii="Cambria Math" w:hAnsi="Cambria Math" w:cs="Cambria Math"/>
        </w:rPr>
        <w:t>▸</w:t>
      </w:r>
      <w:r>
        <w:t xml:space="preserve"> Market trend analysis indicates strong inflows into ETFs, presenting opportunities for Fidelity to expand its offerings.</w:t>
      </w:r>
    </w:p>
    <w:p w14:paraId="4E04E8F0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Digital Personalization and AI Integration</w:t>
      </w:r>
      <w:r>
        <w:br/>
      </w:r>
      <w:r>
        <w:rPr>
          <w:rFonts w:ascii="Cambria Math" w:hAnsi="Cambria Math" w:cs="Cambria Math"/>
        </w:rPr>
        <w:t>▸</w:t>
      </w:r>
      <w:r>
        <w:t xml:space="preserve"> Rapid growth in </w:t>
      </w:r>
      <w:proofErr w:type="spellStart"/>
      <w:r>
        <w:t>robo</w:t>
      </w:r>
      <w:proofErr w:type="spellEnd"/>
      <w:r>
        <w:t>-advisory and AI-powered planning tools.</w:t>
      </w:r>
      <w:r>
        <w:br/>
      </w:r>
      <w:r>
        <w:rPr>
          <w:rFonts w:ascii="Cambria Math" w:hAnsi="Cambria Math" w:cs="Cambria Math"/>
        </w:rPr>
        <w:t>▸</w:t>
      </w:r>
      <w:r>
        <w:t xml:space="preserve"> Behavioral analytics enable Fidelity to provide tailored investment advice at scale.</w:t>
      </w:r>
    </w:p>
    <w:p w14:paraId="69C10A8F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Increasing Retirement Planning Needs</w:t>
      </w:r>
      <w:r>
        <w:br/>
      </w:r>
      <w:r>
        <w:rPr>
          <w:rFonts w:ascii="Cambria Math" w:hAnsi="Cambria Math" w:cs="Cambria Math"/>
        </w:rPr>
        <w:t>▸</w:t>
      </w:r>
      <w:r>
        <w:t xml:space="preserve"> Demographic data predicts higher demand for 401(k) and IRA services.</w:t>
      </w:r>
      <w:r>
        <w:br/>
      </w:r>
      <w:r>
        <w:rPr>
          <w:rFonts w:ascii="Cambria Math" w:hAnsi="Cambria Math" w:cs="Cambria Math"/>
        </w:rPr>
        <w:t>▸</w:t>
      </w:r>
      <w:r>
        <w:t xml:space="preserve"> Employer plan analytics help Fidelity target underserved sectors and small-to-mid-sized markets.</w:t>
      </w:r>
    </w:p>
    <w:p w14:paraId="6AEF7E61" w14:textId="77777777" w:rsidR="00663BD6" w:rsidRDefault="00663BD6" w:rsidP="00663BD6">
      <w:pPr>
        <w:pStyle w:val="NormalWeb"/>
        <w:numPr>
          <w:ilvl w:val="0"/>
          <w:numId w:val="37"/>
        </w:numPr>
      </w:pPr>
      <w:r>
        <w:lastRenderedPageBreak/>
        <w:t>• Growth in Advisor &amp; Institutional Solutions</w:t>
      </w:r>
      <w:r>
        <w:br/>
      </w:r>
      <w:r>
        <w:rPr>
          <w:rFonts w:ascii="Cambria Math" w:hAnsi="Cambria Math" w:cs="Cambria Math"/>
        </w:rPr>
        <w:t>▸</w:t>
      </w:r>
      <w:r>
        <w:t xml:space="preserve"> Rising demand for outsourced CIO and model portfolio services.</w:t>
      </w:r>
      <w:r>
        <w:br/>
      </w:r>
      <w:r>
        <w:rPr>
          <w:rFonts w:ascii="Cambria Math" w:hAnsi="Cambria Math" w:cs="Cambria Math"/>
        </w:rPr>
        <w:t>▸</w:t>
      </w:r>
      <w:r>
        <w:t xml:space="preserve"> Fidelity can leverage portfolio analytics to offer value-added services to RIAs and institutions.</w:t>
      </w:r>
    </w:p>
    <w:p w14:paraId="4F6557C0" w14:textId="77777777" w:rsidR="00663BD6" w:rsidRDefault="00663BD6" w:rsidP="00663BD6">
      <w:pPr>
        <w:pStyle w:val="NormalWeb"/>
        <w:numPr>
          <w:ilvl w:val="0"/>
          <w:numId w:val="37"/>
        </w:numPr>
      </w:pPr>
    </w:p>
    <w:p w14:paraId="37D96DCB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Threats</w:t>
      </w:r>
    </w:p>
    <w:p w14:paraId="1803F545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Fee Pressure and Industry Competition</w:t>
      </w:r>
      <w:r>
        <w:br/>
      </w:r>
      <w:r>
        <w:rPr>
          <w:rFonts w:ascii="Cambria Math" w:hAnsi="Cambria Math" w:cs="Cambria Math"/>
        </w:rPr>
        <w:t>▸</w:t>
      </w:r>
      <w:r>
        <w:t xml:space="preserve"> Vanguard and Schwab continue driving price reductions industry-wide.</w:t>
      </w:r>
      <w:r>
        <w:br/>
      </w:r>
      <w:r>
        <w:rPr>
          <w:rFonts w:ascii="Cambria Math" w:hAnsi="Cambria Math" w:cs="Cambria Math"/>
        </w:rPr>
        <w:t>▸</w:t>
      </w:r>
      <w:r>
        <w:t xml:space="preserve"> Competitive intelligence tools show downward pressure on advisory and product fees.</w:t>
      </w:r>
    </w:p>
    <w:p w14:paraId="1CA9304E" w14:textId="28312A2E" w:rsidR="00663BD6" w:rsidRDefault="00663BD6" w:rsidP="00663BD6">
      <w:pPr>
        <w:pStyle w:val="NormalWeb"/>
        <w:numPr>
          <w:ilvl w:val="0"/>
          <w:numId w:val="37"/>
        </w:numPr>
      </w:pPr>
      <w:r>
        <w:t>• Regulatory Changes and Legal Risks</w:t>
      </w:r>
      <w:r>
        <w:br/>
      </w:r>
      <w:r>
        <w:rPr>
          <w:rFonts w:ascii="Cambria Math" w:hAnsi="Cambria Math" w:cs="Cambria Math"/>
        </w:rPr>
        <w:t>▸</w:t>
      </w:r>
      <w:r>
        <w:t xml:space="preserve"> Increased scrutiny from the SEC and DOL on fiduciary standards and product suitability.</w:t>
      </w:r>
      <w:r>
        <w:br/>
      </w:r>
      <w:r>
        <w:rPr>
          <w:rFonts w:ascii="Cambria Math" w:hAnsi="Cambria Math" w:cs="Cambria Math"/>
        </w:rPr>
        <w:t>▸</w:t>
      </w:r>
      <w:r>
        <w:t xml:space="preserve"> Compliance analytics are vital to monitoring risk exposure and maintaining standards.</w:t>
      </w:r>
    </w:p>
    <w:p w14:paraId="1D79ED73" w14:textId="77777777" w:rsidR="00663BD6" w:rsidRDefault="00663BD6" w:rsidP="00663BD6">
      <w:pPr>
        <w:pStyle w:val="NormalWeb"/>
        <w:numPr>
          <w:ilvl w:val="0"/>
          <w:numId w:val="37"/>
        </w:numPr>
      </w:pPr>
      <w:r>
        <w:t>• Market Volatility and Macroeconomic Risks</w:t>
      </w:r>
      <w:r>
        <w:br/>
      </w:r>
      <w:r>
        <w:rPr>
          <w:rFonts w:ascii="Cambria Math" w:hAnsi="Cambria Math" w:cs="Cambria Math"/>
        </w:rPr>
        <w:t>▸</w:t>
      </w:r>
      <w:r>
        <w:t xml:space="preserve"> Fluctuations in interest rates, inflation, and equity markets influence AUM and investor behavior.</w:t>
      </w:r>
      <w:r>
        <w:br/>
      </w:r>
      <w:r>
        <w:rPr>
          <w:rFonts w:ascii="Cambria Math" w:hAnsi="Cambria Math" w:cs="Cambria Math"/>
        </w:rPr>
        <w:t>▸</w:t>
      </w:r>
      <w:r>
        <w:t xml:space="preserve"> Economic forecasting tools assist Fidelity in managing portfolio risk and asset strategies.</w:t>
      </w:r>
    </w:p>
    <w:p w14:paraId="5E665EC9" w14:textId="642CBFE0" w:rsidR="00663BD6" w:rsidRPr="00663BD6" w:rsidRDefault="00663BD6" w:rsidP="00663BD6">
      <w:pPr>
        <w:pStyle w:val="NormalWeb"/>
        <w:numPr>
          <w:ilvl w:val="0"/>
          <w:numId w:val="37"/>
        </w:numPr>
      </w:pPr>
      <w:r>
        <w:t>• Cybersecurity and Data Privacy</w:t>
      </w:r>
      <w:r>
        <w:br/>
      </w:r>
      <w:r>
        <w:rPr>
          <w:rFonts w:ascii="Cambria Math" w:hAnsi="Cambria Math" w:cs="Cambria Math"/>
        </w:rPr>
        <w:t>▸</w:t>
      </w:r>
      <w:r>
        <w:t xml:space="preserve"> Rising threats can harm trust and lead to regulatory actions.</w:t>
      </w:r>
      <w:r>
        <w:br/>
      </w:r>
      <w:r>
        <w:rPr>
          <w:rFonts w:ascii="Cambria Math" w:hAnsi="Cambria Math" w:cs="Cambria Math"/>
        </w:rPr>
        <w:t>▸</w:t>
      </w:r>
      <w:r>
        <w:t xml:space="preserve"> Threat analytics and real-time monitoring are essential to safeguarding client data and system security.</w:t>
      </w:r>
    </w:p>
    <w:p w14:paraId="184F3F3B" w14:textId="77777777" w:rsidR="00663BD6" w:rsidRPr="00663BD6" w:rsidRDefault="00663BD6" w:rsidP="00663BD6">
      <w:pPr>
        <w:pStyle w:val="NormalWeb"/>
        <w:numPr>
          <w:ilvl w:val="0"/>
          <w:numId w:val="37"/>
        </w:numPr>
      </w:pPr>
      <w:r w:rsidRPr="00663BD6">
        <w:rPr>
          <w:rStyle w:val="Strong"/>
        </w:rPr>
        <w:t>Rising Retirement Planning Demand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Demographic data forecasts increased need for 401(k) and IRA services.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Employer plan analytics help Fidelity target underserved sectors and SMB markets.</w:t>
      </w:r>
    </w:p>
    <w:p w14:paraId="333977BA" w14:textId="77777777" w:rsidR="00663BD6" w:rsidRPr="00663BD6" w:rsidRDefault="00663BD6" w:rsidP="00663BD6">
      <w:pPr>
        <w:pStyle w:val="NormalWeb"/>
        <w:numPr>
          <w:ilvl w:val="0"/>
          <w:numId w:val="37"/>
        </w:numPr>
      </w:pPr>
      <w:r w:rsidRPr="00663BD6">
        <w:rPr>
          <w:rStyle w:val="Strong"/>
        </w:rPr>
        <w:t>Advisor &amp; Institutional Solutions Growth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Demand for outsourced CIO and model portfolio solutions is growing.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Fidelity can leverage portfolio analytics to provide value-added services to RIAs and institutions.</w:t>
      </w:r>
    </w:p>
    <w:p w14:paraId="3EB2E460" w14:textId="77777777" w:rsidR="00663BD6" w:rsidRPr="00663BD6" w:rsidRDefault="00663BD6" w:rsidP="00663BD6">
      <w:r w:rsidRPr="00663BD6">
        <w:pict w14:anchorId="706BCDBE">
          <v:rect id="_x0000_i1121" style="width:0;height:1.5pt" o:hralign="center" o:hrstd="t" o:hr="t" fillcolor="#a0a0a0" stroked="f"/>
        </w:pict>
      </w:r>
    </w:p>
    <w:p w14:paraId="6FF00D7D" w14:textId="77777777" w:rsidR="00663BD6" w:rsidRPr="00663BD6" w:rsidRDefault="00663BD6" w:rsidP="00663BD6">
      <w:pPr>
        <w:pStyle w:val="Heading3"/>
        <w:rPr>
          <w:sz w:val="28"/>
          <w:szCs w:val="28"/>
        </w:rPr>
      </w:pPr>
      <w:r w:rsidRPr="00663BD6">
        <w:rPr>
          <w:rStyle w:val="Strong"/>
          <w:b/>
          <w:bCs/>
          <w:sz w:val="28"/>
          <w:szCs w:val="28"/>
        </w:rPr>
        <w:t>Threats</w:t>
      </w:r>
    </w:p>
    <w:p w14:paraId="674273B6" w14:textId="77777777" w:rsidR="00663BD6" w:rsidRPr="00663BD6" w:rsidRDefault="00663BD6" w:rsidP="00663BD6">
      <w:pPr>
        <w:pStyle w:val="NormalWeb"/>
        <w:numPr>
          <w:ilvl w:val="0"/>
          <w:numId w:val="38"/>
        </w:numPr>
      </w:pPr>
      <w:r w:rsidRPr="00663BD6">
        <w:rPr>
          <w:rStyle w:val="Strong"/>
        </w:rPr>
        <w:t>Fee Compression and Competitive Pressure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Vanguard and Schwab continue to drive industry-wide price reductions.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Competitive intelligence tools show downward pressure on advisory and product fees.</w:t>
      </w:r>
    </w:p>
    <w:p w14:paraId="7B5DFE55" w14:textId="77777777" w:rsidR="00663BD6" w:rsidRPr="00663BD6" w:rsidRDefault="00663BD6" w:rsidP="00663BD6">
      <w:pPr>
        <w:pStyle w:val="NormalWeb"/>
        <w:numPr>
          <w:ilvl w:val="0"/>
          <w:numId w:val="38"/>
        </w:numPr>
      </w:pPr>
      <w:r w:rsidRPr="00663BD6">
        <w:rPr>
          <w:rStyle w:val="Strong"/>
        </w:rPr>
        <w:t>Regulatory Shifts and Legal Risks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Increased scrutiny from SEC and DOL on fiduciary standards and product suitability.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Compliance analytics are critical to monitoring risk exposure and maintaining governance standards.</w:t>
      </w:r>
    </w:p>
    <w:p w14:paraId="5FF2EE53" w14:textId="77777777" w:rsidR="00663BD6" w:rsidRPr="00663BD6" w:rsidRDefault="00663BD6" w:rsidP="00663BD6">
      <w:pPr>
        <w:pStyle w:val="NormalWeb"/>
        <w:numPr>
          <w:ilvl w:val="0"/>
          <w:numId w:val="38"/>
        </w:numPr>
      </w:pPr>
      <w:r w:rsidRPr="00663BD6">
        <w:rPr>
          <w:rStyle w:val="Strong"/>
        </w:rPr>
        <w:t>Market Volatility and Macroeconomic Risk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Fluctuations in interest rates, inflation, and equity markets impact AUM and investor activity.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Economic forecasting tools help Fidelity manage portfolio risk and asset allocation strategies.</w:t>
      </w:r>
    </w:p>
    <w:p w14:paraId="05ADD247" w14:textId="77777777" w:rsidR="00663BD6" w:rsidRPr="00663BD6" w:rsidRDefault="00663BD6" w:rsidP="00663BD6">
      <w:pPr>
        <w:pStyle w:val="NormalWeb"/>
        <w:numPr>
          <w:ilvl w:val="0"/>
          <w:numId w:val="38"/>
        </w:numPr>
      </w:pPr>
      <w:r w:rsidRPr="00663BD6">
        <w:rPr>
          <w:rStyle w:val="Strong"/>
        </w:rPr>
        <w:lastRenderedPageBreak/>
        <w:t>Cybersecurity and Data Privacy Concerns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Rising threat of breaches can damage trust and trigger regulatory action.</w:t>
      </w:r>
      <w:r w:rsidRPr="00663BD6">
        <w:br/>
      </w:r>
      <w:r w:rsidRPr="00663BD6">
        <w:rPr>
          <w:rFonts w:ascii="Cambria Math" w:hAnsi="Cambria Math" w:cs="Cambria Math"/>
        </w:rPr>
        <w:t>▸</w:t>
      </w:r>
      <w:r w:rsidRPr="00663BD6">
        <w:t xml:space="preserve"> Threat analytics and real-time monitoring are essential to protect client data and system integrity.</w:t>
      </w:r>
    </w:p>
    <w:p w14:paraId="0DD23F84" w14:textId="77777777" w:rsidR="00663BD6" w:rsidRPr="00663BD6" w:rsidRDefault="00663BD6" w:rsidP="00663BD6">
      <w:pPr>
        <w:pStyle w:val="NormalWeb"/>
      </w:pPr>
    </w:p>
    <w:sectPr w:rsidR="00663BD6" w:rsidRPr="0066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6A2"/>
    <w:multiLevelType w:val="multilevel"/>
    <w:tmpl w:val="9F6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759B"/>
    <w:multiLevelType w:val="hybridMultilevel"/>
    <w:tmpl w:val="2904D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44B"/>
    <w:multiLevelType w:val="multilevel"/>
    <w:tmpl w:val="232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FD7"/>
    <w:multiLevelType w:val="hybridMultilevel"/>
    <w:tmpl w:val="C50E3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4C36"/>
    <w:multiLevelType w:val="multilevel"/>
    <w:tmpl w:val="D56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02A28"/>
    <w:multiLevelType w:val="multilevel"/>
    <w:tmpl w:val="F08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6478"/>
    <w:multiLevelType w:val="hybridMultilevel"/>
    <w:tmpl w:val="2B68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55B14"/>
    <w:multiLevelType w:val="multilevel"/>
    <w:tmpl w:val="9608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57EC"/>
    <w:multiLevelType w:val="multilevel"/>
    <w:tmpl w:val="66C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261CC"/>
    <w:multiLevelType w:val="multilevel"/>
    <w:tmpl w:val="515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62FBB"/>
    <w:multiLevelType w:val="multilevel"/>
    <w:tmpl w:val="A24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03360"/>
    <w:multiLevelType w:val="multilevel"/>
    <w:tmpl w:val="493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65C10"/>
    <w:multiLevelType w:val="multilevel"/>
    <w:tmpl w:val="49A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42385"/>
    <w:multiLevelType w:val="hybridMultilevel"/>
    <w:tmpl w:val="B894B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00123"/>
    <w:multiLevelType w:val="multilevel"/>
    <w:tmpl w:val="720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C6547"/>
    <w:multiLevelType w:val="multilevel"/>
    <w:tmpl w:val="5A3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41B39"/>
    <w:multiLevelType w:val="multilevel"/>
    <w:tmpl w:val="304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F6D89"/>
    <w:multiLevelType w:val="hybridMultilevel"/>
    <w:tmpl w:val="F1B8E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C2914"/>
    <w:multiLevelType w:val="multilevel"/>
    <w:tmpl w:val="375C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A51E1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F1EE8"/>
    <w:multiLevelType w:val="multilevel"/>
    <w:tmpl w:val="CC4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104F08"/>
    <w:multiLevelType w:val="multilevel"/>
    <w:tmpl w:val="44A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474F7"/>
    <w:multiLevelType w:val="multilevel"/>
    <w:tmpl w:val="CC0ED7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714CD"/>
    <w:multiLevelType w:val="multilevel"/>
    <w:tmpl w:val="85D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8277A"/>
    <w:multiLevelType w:val="multilevel"/>
    <w:tmpl w:val="750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C639B"/>
    <w:multiLevelType w:val="hybridMultilevel"/>
    <w:tmpl w:val="FBD4B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31240"/>
    <w:multiLevelType w:val="multilevel"/>
    <w:tmpl w:val="93D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13B56"/>
    <w:multiLevelType w:val="multilevel"/>
    <w:tmpl w:val="228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B2F0C"/>
    <w:multiLevelType w:val="multilevel"/>
    <w:tmpl w:val="3DE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D1791"/>
    <w:multiLevelType w:val="hybridMultilevel"/>
    <w:tmpl w:val="9D6EE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8524F"/>
    <w:multiLevelType w:val="multilevel"/>
    <w:tmpl w:val="CC1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C3C28"/>
    <w:multiLevelType w:val="multilevel"/>
    <w:tmpl w:val="0816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E2829"/>
    <w:multiLevelType w:val="multilevel"/>
    <w:tmpl w:val="DE1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92202"/>
    <w:multiLevelType w:val="multilevel"/>
    <w:tmpl w:val="D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2603D"/>
    <w:multiLevelType w:val="hybridMultilevel"/>
    <w:tmpl w:val="9FA88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257B"/>
    <w:multiLevelType w:val="multilevel"/>
    <w:tmpl w:val="245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869F5"/>
    <w:multiLevelType w:val="multilevel"/>
    <w:tmpl w:val="68F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A0CCC"/>
    <w:multiLevelType w:val="multilevel"/>
    <w:tmpl w:val="3866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4667F"/>
    <w:multiLevelType w:val="multilevel"/>
    <w:tmpl w:val="9FE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76A33"/>
    <w:multiLevelType w:val="multilevel"/>
    <w:tmpl w:val="D32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31DA8"/>
    <w:multiLevelType w:val="multilevel"/>
    <w:tmpl w:val="BCF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D4D32"/>
    <w:multiLevelType w:val="hybridMultilevel"/>
    <w:tmpl w:val="68BC6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72B68"/>
    <w:multiLevelType w:val="multilevel"/>
    <w:tmpl w:val="E4B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707DD"/>
    <w:multiLevelType w:val="hybridMultilevel"/>
    <w:tmpl w:val="C896E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43363"/>
    <w:multiLevelType w:val="multilevel"/>
    <w:tmpl w:val="36D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43269"/>
    <w:multiLevelType w:val="hybridMultilevel"/>
    <w:tmpl w:val="50CE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E5117"/>
    <w:multiLevelType w:val="hybridMultilevel"/>
    <w:tmpl w:val="578AE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227C6"/>
    <w:multiLevelType w:val="multilevel"/>
    <w:tmpl w:val="165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EC5AFB"/>
    <w:multiLevelType w:val="multilevel"/>
    <w:tmpl w:val="294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2"/>
  </w:num>
  <w:num w:numId="4">
    <w:abstractNumId w:val="30"/>
  </w:num>
  <w:num w:numId="5">
    <w:abstractNumId w:val="27"/>
  </w:num>
  <w:num w:numId="6">
    <w:abstractNumId w:val="18"/>
  </w:num>
  <w:num w:numId="7">
    <w:abstractNumId w:val="47"/>
  </w:num>
  <w:num w:numId="8">
    <w:abstractNumId w:val="31"/>
  </w:num>
  <w:num w:numId="9">
    <w:abstractNumId w:val="45"/>
  </w:num>
  <w:num w:numId="10">
    <w:abstractNumId w:val="16"/>
  </w:num>
  <w:num w:numId="11">
    <w:abstractNumId w:val="19"/>
  </w:num>
  <w:num w:numId="12">
    <w:abstractNumId w:val="32"/>
  </w:num>
  <w:num w:numId="13">
    <w:abstractNumId w:val="40"/>
  </w:num>
  <w:num w:numId="14">
    <w:abstractNumId w:val="20"/>
  </w:num>
  <w:num w:numId="15">
    <w:abstractNumId w:val="7"/>
  </w:num>
  <w:num w:numId="16">
    <w:abstractNumId w:val="8"/>
  </w:num>
  <w:num w:numId="17">
    <w:abstractNumId w:val="28"/>
  </w:num>
  <w:num w:numId="18">
    <w:abstractNumId w:val="39"/>
  </w:num>
  <w:num w:numId="19">
    <w:abstractNumId w:val="24"/>
  </w:num>
  <w:num w:numId="20">
    <w:abstractNumId w:val="14"/>
  </w:num>
  <w:num w:numId="21">
    <w:abstractNumId w:val="33"/>
  </w:num>
  <w:num w:numId="22">
    <w:abstractNumId w:val="38"/>
  </w:num>
  <w:num w:numId="23">
    <w:abstractNumId w:val="4"/>
  </w:num>
  <w:num w:numId="24">
    <w:abstractNumId w:val="37"/>
  </w:num>
  <w:num w:numId="25">
    <w:abstractNumId w:val="5"/>
  </w:num>
  <w:num w:numId="26">
    <w:abstractNumId w:val="9"/>
  </w:num>
  <w:num w:numId="27">
    <w:abstractNumId w:val="11"/>
  </w:num>
  <w:num w:numId="28">
    <w:abstractNumId w:val="23"/>
  </w:num>
  <w:num w:numId="29">
    <w:abstractNumId w:val="12"/>
  </w:num>
  <w:num w:numId="30">
    <w:abstractNumId w:val="21"/>
  </w:num>
  <w:num w:numId="31">
    <w:abstractNumId w:val="10"/>
  </w:num>
  <w:num w:numId="32">
    <w:abstractNumId w:val="44"/>
  </w:num>
  <w:num w:numId="33">
    <w:abstractNumId w:val="35"/>
  </w:num>
  <w:num w:numId="34">
    <w:abstractNumId w:val="22"/>
  </w:num>
  <w:num w:numId="35">
    <w:abstractNumId w:val="26"/>
  </w:num>
  <w:num w:numId="36">
    <w:abstractNumId w:val="0"/>
  </w:num>
  <w:num w:numId="37">
    <w:abstractNumId w:val="48"/>
  </w:num>
  <w:num w:numId="38">
    <w:abstractNumId w:val="36"/>
  </w:num>
  <w:num w:numId="39">
    <w:abstractNumId w:val="17"/>
  </w:num>
  <w:num w:numId="40">
    <w:abstractNumId w:val="1"/>
  </w:num>
  <w:num w:numId="41">
    <w:abstractNumId w:val="13"/>
  </w:num>
  <w:num w:numId="42">
    <w:abstractNumId w:val="41"/>
  </w:num>
  <w:num w:numId="43">
    <w:abstractNumId w:val="29"/>
  </w:num>
  <w:num w:numId="44">
    <w:abstractNumId w:val="46"/>
  </w:num>
  <w:num w:numId="45">
    <w:abstractNumId w:val="6"/>
  </w:num>
  <w:num w:numId="46">
    <w:abstractNumId w:val="3"/>
  </w:num>
  <w:num w:numId="47">
    <w:abstractNumId w:val="43"/>
  </w:num>
  <w:num w:numId="48">
    <w:abstractNumId w:val="25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A"/>
    <w:rsid w:val="0000660E"/>
    <w:rsid w:val="00131B15"/>
    <w:rsid w:val="002A751A"/>
    <w:rsid w:val="00663BD6"/>
    <w:rsid w:val="0080306F"/>
    <w:rsid w:val="008D17EA"/>
    <w:rsid w:val="00976014"/>
    <w:rsid w:val="00A64E97"/>
    <w:rsid w:val="00B72D51"/>
    <w:rsid w:val="00C56086"/>
    <w:rsid w:val="00CF710A"/>
    <w:rsid w:val="00DD2D36"/>
    <w:rsid w:val="00F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157E9"/>
  <w15:chartTrackingRefBased/>
  <w15:docId w15:val="{BAB77709-55AB-456B-8483-329EFFD6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7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5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1">
    <w:name w:val="ms-1"/>
    <w:basedOn w:val="DefaultParagraphFont"/>
    <w:rsid w:val="002A751A"/>
  </w:style>
  <w:style w:type="character" w:customStyle="1" w:styleId="max-w-15ch">
    <w:name w:val="max-w-[15ch]"/>
    <w:basedOn w:val="DefaultParagraphFont"/>
    <w:rsid w:val="002A751A"/>
  </w:style>
  <w:style w:type="character" w:customStyle="1" w:styleId="-me-1">
    <w:name w:val="-me-1"/>
    <w:basedOn w:val="DefaultParagraphFont"/>
    <w:rsid w:val="002A751A"/>
  </w:style>
  <w:style w:type="paragraph" w:styleId="ListParagraph">
    <w:name w:val="List Paragraph"/>
    <w:basedOn w:val="Normal"/>
    <w:uiPriority w:val="34"/>
    <w:qFormat/>
    <w:rsid w:val="002A75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2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wotanalysisexample.com/products/fidelity-swot-analysis?utm_source=chatgpt.com" TargetMode="External"/><Relationship Id="rId18" Type="http://schemas.openxmlformats.org/officeDocument/2006/relationships/hyperlink" Target="https://canvasbusinessmodel.com/products/fidelity-swot-analysis?utm_source=chatgpt.com" TargetMode="External"/><Relationship Id="rId26" Type="http://schemas.openxmlformats.org/officeDocument/2006/relationships/hyperlink" Target="https://newsroom.fidelity.com/pressreleases/-new-data-from-fidelity-investments--reveals-confidence-among-self-directed-investors-despite-tumult/s/46faefed-b826-4a16-a1b3-3ff9a6a2cf41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sj.com/finance/investing/fidelity-investments-earnings-report-2024-2618e13c?utm_source=chatgpt.com" TargetMode="External"/><Relationship Id="rId34" Type="http://schemas.openxmlformats.org/officeDocument/2006/relationships/hyperlink" Target="https://www.barrons.com/advisor/articles/fidelity-investors-arbitration-f910eecb?utm_source=chatgpt.com" TargetMode="External"/><Relationship Id="rId7" Type="http://schemas.openxmlformats.org/officeDocument/2006/relationships/hyperlink" Target="https://www.wsj.com/finance/investing/fidelity-investments-reports-its-annual-profits-and-revenue-2618e13c?utm_source=chatgpt.com" TargetMode="External"/><Relationship Id="rId12" Type="http://schemas.openxmlformats.org/officeDocument/2006/relationships/hyperlink" Target="https://canvasbusinessmodel.com/products/fidelity-swot-analysis?utm_source=chatgpt.com" TargetMode="External"/><Relationship Id="rId17" Type="http://schemas.openxmlformats.org/officeDocument/2006/relationships/hyperlink" Target="https://swotanalysisexample.com/products/fidelity-pestle-analysis?utm_source=chatgpt.com" TargetMode="External"/><Relationship Id="rId25" Type="http://schemas.openxmlformats.org/officeDocument/2006/relationships/hyperlink" Target="https://www.investing.com/news/stock-market-news/fidelity-mutual-funds-exhibit-strong-performance-amid-market-volatility-93CH-3224824?utm_source=chatgpt.com" TargetMode="External"/><Relationship Id="rId33" Type="http://schemas.openxmlformats.org/officeDocument/2006/relationships/hyperlink" Target="https://canvasbusinessmodel.com/products/fidelity-swot-analysis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rrons.com/advisor/articles/fidelity-alternative-investments-model-portfolios-46b415b2?utm_source=chatgpt.com" TargetMode="External"/><Relationship Id="rId20" Type="http://schemas.openxmlformats.org/officeDocument/2006/relationships/hyperlink" Target="https://www.barrons.com/advisor/articles/fidelity-investors-arbitration-f910eecb?utm_source=chatgpt.com" TargetMode="External"/><Relationship Id="rId29" Type="http://schemas.openxmlformats.org/officeDocument/2006/relationships/hyperlink" Target="https://swotanalysisexample.com/products/fidelity-swot-analysi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estors.com/news/fidelity-investments-wins-customers-long-term-thinking/?utm_source=chatgpt.com" TargetMode="External"/><Relationship Id="rId11" Type="http://schemas.openxmlformats.org/officeDocument/2006/relationships/hyperlink" Target="https://canvasbusinessmodel.com/products/fidelity-swot-analysis?utm_source=chatgpt.com" TargetMode="External"/><Relationship Id="rId24" Type="http://schemas.openxmlformats.org/officeDocument/2006/relationships/hyperlink" Target="https://www.wsj.com/finance/investing/fidelity-investments-earnings-report-2024-2618e13c?utm_source=chatgpt.com" TargetMode="External"/><Relationship Id="rId32" Type="http://schemas.openxmlformats.org/officeDocument/2006/relationships/hyperlink" Target="https://canvasbusinessmodel.com/products/fidelity-swot-analysis?utm_source=chatgpt.com" TargetMode="External"/><Relationship Id="rId37" Type="http://schemas.openxmlformats.org/officeDocument/2006/relationships/hyperlink" Target="https://www.barrons.com/advisor/articles/fidelity-pressured-advisors-to-sell-high-fee-investments-lawsuit-claims-98c1bbae?utm_source=chatgpt.com" TargetMode="External"/><Relationship Id="rId5" Type="http://schemas.openxmlformats.org/officeDocument/2006/relationships/hyperlink" Target="https://www.wsj.com/finance/investing/fidelity-investments-reports-its-annual-profits-and-revenue-2618e13c?utm_source=chatgpt.com" TargetMode="External"/><Relationship Id="rId15" Type="http://schemas.openxmlformats.org/officeDocument/2006/relationships/hyperlink" Target="https://canvasbusinessmodel.com/products/fidelity-swot-analysis?utm_source=chatgpt.com" TargetMode="External"/><Relationship Id="rId23" Type="http://schemas.openxmlformats.org/officeDocument/2006/relationships/hyperlink" Target="https://www.investors.com/news/fidelity-investments-wins-customers-long-term-thinking/?utm_source=chatgpt.com" TargetMode="External"/><Relationship Id="rId28" Type="http://schemas.openxmlformats.org/officeDocument/2006/relationships/hyperlink" Target="https://www.investors.com/news/fidelity-investments-wins-customers-long-term-thinking/?utm_source=chatgpt.com" TargetMode="External"/><Relationship Id="rId36" Type="http://schemas.openxmlformats.org/officeDocument/2006/relationships/hyperlink" Target="https://newsroom.fidelity.com/pressreleases/-new-data-from-fidelity-investments--reveals-confidence-among-self-directed-investors-despite-tumult/s/46faefed-b826-4a16-a1b3-3ff9a6a2cf41?utm_source=chatgpt.com" TargetMode="External"/><Relationship Id="rId10" Type="http://schemas.openxmlformats.org/officeDocument/2006/relationships/hyperlink" Target="https://swotanalysisexample.com/products/fidelity-swot-analysis?utm_source=chatgpt.com" TargetMode="External"/><Relationship Id="rId19" Type="http://schemas.openxmlformats.org/officeDocument/2006/relationships/hyperlink" Target="https://swotanalysisexample.com/products/fidelity-five-forces-analysis?utm_source=chatgpt.com" TargetMode="External"/><Relationship Id="rId31" Type="http://schemas.openxmlformats.org/officeDocument/2006/relationships/hyperlink" Target="https://www.reddit.com/r/fidelityinvestments/comments/1jl5oeh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rons.com/advisor/articles/fidelity-alternative-investments-model-portfolios-46b415b2?utm_source=chatgpt.com" TargetMode="External"/><Relationship Id="rId14" Type="http://schemas.openxmlformats.org/officeDocument/2006/relationships/hyperlink" Target="https://swotanalysisexample.com/products/fidelity-swot-analysis?utm_source=chatgpt.com" TargetMode="External"/><Relationship Id="rId22" Type="http://schemas.openxmlformats.org/officeDocument/2006/relationships/hyperlink" Target="https://www.investors.com/news/fidelity-investments-wins-customers-long-term-thinking/?utm_source=chatgpt.com" TargetMode="External"/><Relationship Id="rId27" Type="http://schemas.openxmlformats.org/officeDocument/2006/relationships/hyperlink" Target="https://wallstreetlogic.com/financial-literacy/fidelity-investments-a-comprehensive-review/?utm_source=chatgpt.com" TargetMode="External"/><Relationship Id="rId30" Type="http://schemas.openxmlformats.org/officeDocument/2006/relationships/hyperlink" Target="https://canvasbusinessmodel.com/products/fidelity-swot-analysis?utm_source=chatgpt.com" TargetMode="External"/><Relationship Id="rId35" Type="http://schemas.openxmlformats.org/officeDocument/2006/relationships/hyperlink" Target="https://www.wsj.com/finance/investing/fidelity-investments-earnings-report-2024-2618e13c?utm_source=chatgpt.com" TargetMode="External"/><Relationship Id="rId8" Type="http://schemas.openxmlformats.org/officeDocument/2006/relationships/hyperlink" Target="https://www.barrons.com/advisor/articles/fidelity-alternative-investments-model-portfolios-46b415b2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16</Pages>
  <Words>5563</Words>
  <Characters>36005</Characters>
  <Application>Microsoft Office Word</Application>
  <DocSecurity>0</DocSecurity>
  <Lines>655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Colby</dc:creator>
  <cp:keywords/>
  <dc:description/>
  <cp:lastModifiedBy>Wolf, Colby</cp:lastModifiedBy>
  <cp:revision>1</cp:revision>
  <dcterms:created xsi:type="dcterms:W3CDTF">2025-09-11T18:57:00Z</dcterms:created>
  <dcterms:modified xsi:type="dcterms:W3CDTF">2025-09-12T04:35:00Z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c70e862a-71f0-45d5-9286-7ea800abc30d</vt:lpwstr>
  </property>
</Properties>
</file>