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9/11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$515135131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4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chancito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7 de abril de 2025,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$515135131 (kijflifjligjlidgjligj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fdssofkgopkjgfkj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Nezahualcoyotl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4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464645646dsfgjigj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dfjglkjglhglhgfhj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jkjsgirjihgjiegjigj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Domicilio:mjkjdlkhjdtlkjhgdlkj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