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10/11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$4,500.00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4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MARÍA GUADALUPE ÁVILA TORRES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Fuente de Trevi número 109, Colonia Infonavit San Gabriel, en el municipio de Metepec, Estado de México, Código Postal 52159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6 de mayo de 2025,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$4,500.00 (Cuatro mil quinientos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Fuente de Trevi número 109, Colonia Infonavit San Gabriel, en el municipio de Metepec, Estado de México, Código Postal 52159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4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LUIS NAVA CAMACHO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ÁNGELA YULIZA PÉREZ FABELA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Avenida Solidaridad Las Torres Número 891, en Santa Ana Tlapaltitlán, M unicipio de Toluca, Estado de México, Código Postal 50160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Domicilio:Privada Altamirano número 5, Colonia Zimbrones en el municipio de Zinacantepec, Estado De México, Código Postal 51355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