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3/11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3 de octubre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