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5" name="image8.png"/>
            <a:graphic>
              <a:graphicData uri="http://schemas.openxmlformats.org/drawingml/2006/picture">
                <pic:pic>
                  <pic:nvPicPr>
                    <pic:cNvPr descr="Global Rain logo" id="0" name="image8.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4/18/2024</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Dakota Wolfe</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6" name="image9.png"/>
            <a:graphic>
              <a:graphicData uri="http://schemas.openxmlformats.org/drawingml/2006/picture">
                <pic:pic>
                  <pic:nvPicPr>
                    <pic:cNvPr descr="Artemis Financial logo" id="0" name="image9.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these completed practices for a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Dakota Wolfe</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40" w:lineRule="auto"/>
        <w:ind w:left="360" w:hanging="360"/>
        <w:rPr/>
      </w:pPr>
      <w:bookmarkStart w:colFirst="0" w:colLast="0" w:name="_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sz w:val="22"/>
          <w:szCs w:val="22"/>
          <w:rtl w:val="0"/>
        </w:rPr>
        <w:t xml:space="preserve">Artemis Financial should use AES (Advanced Encryption Standard) as their algorithm cipher. The Federal Information Processing Standards Publication 197 details AES as, “...a FIPS-approved cryptographic algorithm that can be used to protect electronic data …a symmetric block cipher that can encrypt and decrypt information”. The usage of AES would center around the encryption of Artemis Financial’s archive files. Files will be encrypted with AES using an encryption key. Authorized users will then access the data using the corresponding decryption key. The purpose of this cipher’s hash functions are to maintain the confidentiality of the data involved. AES works with bit levels of 128, 192, or 256. AES also uses the same key for encryption and decryption, better known as symmetric encryption. AES replaced DES in 2001, and has since been the encryption standard throughout the tech industry.</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pStyle w:val="Heading2"/>
        <w:numPr>
          <w:ilvl w:val="0"/>
          <w:numId w:val="1"/>
        </w:numPr>
        <w:spacing w:before="0" w:line="240" w:lineRule="auto"/>
        <w:ind w:left="360" w:hanging="360"/>
        <w:rPr/>
      </w:pPr>
      <w:bookmarkStart w:colFirst="0" w:colLast="0" w:name="_3dy6vkm" w:id="6"/>
      <w:bookmarkEnd w:id="6"/>
      <w:r w:rsidDel="00000000" w:rsidR="00000000" w:rsidRPr="00000000">
        <w:rPr>
          <w:rtl w:val="0"/>
        </w:rPr>
        <w:t xml:space="preserve">Certificate Generation</w:t>
      </w:r>
    </w:p>
    <w:p w:rsidR="00000000" w:rsidDel="00000000" w:rsidP="00000000" w:rsidRDefault="00000000" w:rsidRPr="00000000" w14:paraId="0000003E">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spacing w:line="480" w:lineRule="auto"/>
        <w:ind w:left="72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33401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ind w:left="72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ind w:left="72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pStyle w:val="Heading2"/>
        <w:numPr>
          <w:ilvl w:val="0"/>
          <w:numId w:val="1"/>
        </w:numPr>
        <w:spacing w:before="0" w:line="240" w:lineRule="auto"/>
        <w:ind w:left="360" w:hanging="360"/>
        <w:rPr/>
      </w:pPr>
      <w:bookmarkStart w:colFirst="0" w:colLast="0" w:name="_1t3h5sf" w:id="7"/>
      <w:bookmarkEnd w:id="7"/>
      <w:r w:rsidDel="00000000" w:rsidR="00000000" w:rsidRPr="00000000">
        <w:rPr>
          <w:rtl w:val="0"/>
        </w:rPr>
        <w:t xml:space="preserve">Deploy Cipher</w:t>
      </w:r>
    </w:p>
    <w:p w:rsidR="00000000" w:rsidDel="00000000" w:rsidP="00000000" w:rsidRDefault="00000000" w:rsidRPr="00000000" w14:paraId="00000045">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sz w:val="22"/>
          <w:szCs w:val="22"/>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pStyle w:val="Heading2"/>
        <w:numPr>
          <w:ilvl w:val="0"/>
          <w:numId w:val="1"/>
        </w:numPr>
        <w:spacing w:before="0" w:line="240" w:lineRule="auto"/>
        <w:ind w:left="360" w:hanging="360"/>
        <w:rPr/>
      </w:pPr>
      <w:bookmarkStart w:colFirst="0" w:colLast="0" w:name="_4d34og8" w:id="8"/>
      <w:bookmarkEnd w:id="8"/>
      <w:r w:rsidDel="00000000" w:rsidR="00000000" w:rsidRPr="00000000">
        <w:rPr>
          <w:rtl w:val="0"/>
        </w:rPr>
        <w:t xml:space="preserve">Secure Communications </w:t>
      </w:r>
    </w:p>
    <w:p w:rsidR="00000000" w:rsidDel="00000000" w:rsidP="00000000" w:rsidRDefault="00000000" w:rsidRPr="00000000" w14:paraId="0000004A">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sz w:val="22"/>
          <w:szCs w:val="22"/>
          <w:rtl w:val="0"/>
        </w:rPr>
        <w:t xml:space="preserve">I enabled HTTPS but the web browser does not trust my certificate.</w:t>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sz w:val="22"/>
          <w:szCs w:val="22"/>
        </w:rPr>
        <w:drawing>
          <wp:inline distB="114300" distT="114300" distL="114300" distR="114300">
            <wp:extent cx="5943600" cy="33401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pStyle w:val="Heading2"/>
        <w:numPr>
          <w:ilvl w:val="0"/>
          <w:numId w:val="1"/>
        </w:numPr>
        <w:spacing w:before="0" w:line="240" w:lineRule="auto"/>
        <w:ind w:left="360" w:hanging="360"/>
        <w:rPr/>
      </w:pPr>
      <w:bookmarkStart w:colFirst="0" w:colLast="0" w:name="_2s8eyo1" w:id="9"/>
      <w:bookmarkEnd w:id="9"/>
      <w:r w:rsidDel="00000000" w:rsidR="00000000" w:rsidRPr="00000000">
        <w:rPr>
          <w:rtl w:val="0"/>
        </w:rPr>
        <w:t xml:space="preserve">Secondary Testing</w:t>
      </w:r>
    </w:p>
    <w:p w:rsidR="00000000" w:rsidDel="00000000" w:rsidP="00000000" w:rsidRDefault="00000000" w:rsidRPr="00000000" w14:paraId="00000051">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sz w:val="22"/>
          <w:szCs w:val="22"/>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pStyle w:val="Heading2"/>
        <w:numPr>
          <w:ilvl w:val="0"/>
          <w:numId w:val="1"/>
        </w:numPr>
        <w:spacing w:before="0" w:line="240" w:lineRule="auto"/>
        <w:ind w:left="360" w:hanging="360"/>
        <w:rPr/>
      </w:pPr>
      <w:bookmarkStart w:colFirst="0" w:colLast="0" w:name="_17dp8vu" w:id="10"/>
      <w:bookmarkEnd w:id="10"/>
      <w:r w:rsidDel="00000000" w:rsidR="00000000" w:rsidRPr="00000000">
        <w:rPr>
          <w:rtl w:val="0"/>
        </w:rPr>
        <w:t xml:space="preserve">Functional Testing</w:t>
      </w:r>
    </w:p>
    <w:p w:rsidR="00000000" w:rsidDel="00000000" w:rsidP="00000000" w:rsidRDefault="00000000" w:rsidRPr="00000000" w14:paraId="00000056">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sz w:val="22"/>
          <w:szCs w:val="22"/>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sz w:val="22"/>
          <w:szCs w:val="22"/>
        </w:rPr>
        <w:drawing>
          <wp:inline distB="114300" distT="114300" distL="114300" distR="114300">
            <wp:extent cx="5943600" cy="33401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pStyle w:val="Heading2"/>
        <w:numPr>
          <w:ilvl w:val="0"/>
          <w:numId w:val="1"/>
        </w:numPr>
        <w:spacing w:before="0" w:line="240" w:lineRule="auto"/>
        <w:ind w:left="360" w:hanging="360"/>
        <w:rPr/>
      </w:pPr>
      <w:bookmarkStart w:colFirst="0" w:colLast="0" w:name="_3rdcrjn" w:id="11"/>
      <w:bookmarkEnd w:id="11"/>
      <w:r w:rsidDel="00000000" w:rsidR="00000000" w:rsidRPr="00000000">
        <w:rPr>
          <w:rtl w:val="0"/>
        </w:rPr>
        <w:t xml:space="preserve">Summary</w:t>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sz w:val="22"/>
          <w:szCs w:val="22"/>
          <w:rtl w:val="0"/>
        </w:rPr>
        <w:t xml:space="preserve">The code has been modified to fall in line with security testing protocols. One addition to the code is the use of SHA-256. SHA-256 is used alongside the generateChecksum() method to generate checksum data for the input. This code also utilizes HTTPS, which encrypts the communication between client and server. Another security benefit is the use of error handling. This prevents the app from crashing when encountering an error.</w:t>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pStyle w:val="Heading2"/>
        <w:numPr>
          <w:ilvl w:val="0"/>
          <w:numId w:val="1"/>
        </w:numPr>
        <w:spacing w:before="0" w:line="240" w:lineRule="auto"/>
        <w:ind w:left="360" w:hanging="360"/>
        <w:rPr>
          <w:rFonts w:ascii="Calibri" w:cs="Calibri" w:eastAsia="Calibri" w:hAnsi="Calibri"/>
        </w:rPr>
      </w:pPr>
      <w:bookmarkStart w:colFirst="0" w:colLast="0" w:name="_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sz w:val="22"/>
          <w:szCs w:val="22"/>
          <w:rtl w:val="0"/>
        </w:rPr>
        <w:t xml:space="preserve">This application follows industry standard best practices in a number of ways. The app shows proper encapsulation by separating different functions and classes. Another example of the code following RESTful API design through the use of annotations like @RequestMapping and @RestController. Using error handling to prevent the app from crashing is also in line with industry standards. Finally, the code is well-organized and commented on.</w:t>
      </w:r>
    </w:p>
    <w:sectPr>
      <w:headerReference r:id="rId15" w:type="default"/>
      <w:footerReference r:id="rId16" w:type="default"/>
      <w:footerReference r:id="rId17"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