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 Pulse NC: Project Brief</w:t>
      </w:r>
    </w:p>
    <w:p>
      <w:r>
        <w:rPr>
          <w:b/>
        </w:rPr>
        <w:t>Audience:</w:t>
      </w:r>
      <w:r>
        <w:t xml:space="preserve"> Dr. Majed Al-Ghandour, BIDA 670 Instructor</w:t>
      </w:r>
    </w:p>
    <w:p>
      <w:r>
        <w:rPr>
          <w:b/>
        </w:rPr>
        <w:t>Date:</w:t>
      </w:r>
      <w:r>
        <w:t xml:space="preserve"> February 1, 2026</w:t>
      </w:r>
    </w:p>
    <w:p>
      <w:pPr>
        <w:pStyle w:val="Heading1"/>
      </w:pPr>
      <w:r>
        <w:t>Project Overview</w:t>
      </w:r>
    </w:p>
    <w:p>
      <w:r>
        <w:t>North Carolina faces a critical infrastructure challenge: electric vehicle adoption is outpacing charging infrastructure deployment. Between September 2018 and June 2025, the state's BEV fleet grew from 5,165 to 94,371 vehicles—a 1,727% increase (53.8% CAGR). Public charging infrastructure has struggled to keep pace, with 16.9 BEVs per port versus the 10-15 national benchmark.</w:t>
      </w:r>
    </w:p>
    <w:p>
      <w:r>
        <w:t>This project analyzes alignment between EV adoption and infrastructure across all 100 North Carolina counties using 8,200 county-month observations (82 months) and 1,725 individual charging connectors. Core question: where should North Carolina's $109 million in NEVI funding go?</w:t>
      </w:r>
    </w:p>
    <w:p>
      <w:r>
        <w:rPr>
          <w:b/>
        </w:rPr>
        <w:t>Baseline analysis last semester</w:t>
      </w:r>
      <w:r>
        <w:t xml:space="preserve"> produced county-level ARIMA forecasts (weighted MAPE 2.73%), identified infrastructure gap of 16.9 BEVs per port, and revealed extreme geographic inequality (Gini 0.805—top 10 counties hold 72% of BEVs, bottom 50 hold 4.8%). This semester adds three extensions to enhance spatial precision, temporal currency, and demand dimensionality.</w:t>
      </w:r>
    </w:p>
    <w:p>
      <w:r>
        <w:t>What makes this distinctive: county-level granularity over 82 months with connector-level detail (1,725 units vs. 355 stations)—4.85 times more precision than typical state-level snapshot studies.</w:t>
      </w:r>
    </w:p>
    <w:p>
      <w:pPr>
        <w:pStyle w:val="Heading1"/>
      </w:pPr>
      <w:r>
        <w:t>Extension Slice #1: Validation (Priority #1) - COMPLETE</w:t>
      </w:r>
    </w:p>
    <w:p>
      <w:r>
        <w:t>The validation extension tested SAS Model Studio forecast accuracy using true out-of-sample data (Jul-Oct 2025).</w:t>
      </w:r>
    </w:p>
    <w:p>
      <w:r>
        <w:rPr>
          <w:b/>
        </w:rPr>
        <w:t>Results:</w:t>
      </w:r>
    </w:p>
    <w:p>
      <w:pPr>
        <w:pStyle w:val="ListBullet"/>
      </w:pPr>
      <w:r>
        <w:rPr>
          <w:b/>
        </w:rPr>
        <w:t>MAPE:</w:t>
      </w:r>
      <w:r>
        <w:t xml:space="preserve"> 4.36% (strong validation, below 5% threshold)</w:t>
      </w:r>
    </w:p>
    <w:p>
      <w:pPr>
        <w:pStyle w:val="ListBullet"/>
      </w:pPr>
      <w:r>
        <w:rPr>
          <w:b/>
        </w:rPr>
        <w:t>MAE:</w:t>
      </w:r>
      <w:r>
        <w:t xml:space="preserve"> 27.10 vehicles, </w:t>
      </w:r>
      <w:r>
        <w:rPr>
          <w:b/>
        </w:rPr>
        <w:t>RMSE:</w:t>
      </w:r>
      <w:r>
        <w:t xml:space="preserve"> 114.11 vehicles</w:t>
      </w:r>
    </w:p>
    <w:p>
      <w:pPr>
        <w:pStyle w:val="ListBullet"/>
      </w:pPr>
      <w:r>
        <w:rPr>
          <w:b/>
        </w:rPr>
        <w:t>Systematic Bias:</w:t>
      </w:r>
      <w:r>
        <w:t xml:space="preserve"> +18.36 vehicles (underprediction)</w:t>
      </w:r>
    </w:p>
    <w:p>
      <w:pPr>
        <w:pStyle w:val="ListBullet"/>
      </w:pPr>
      <w:r>
        <w:rPr>
          <w:b/>
        </w:rPr>
        <w:t>Underprediction Rate:</w:t>
      </w:r>
      <w:r>
        <w:t xml:space="preserve"> 68.9% of forecasts fell below actuals</w:t>
      </w:r>
    </w:p>
    <w:p>
      <w:pPr>
        <w:pStyle w:val="ListBullet"/>
      </w:pPr>
      <w:r>
        <w:rPr>
          <w:b/>
        </w:rPr>
        <w:t>95% CI Coverage:</w:t>
      </w:r>
      <w:r>
        <w:t xml:space="preserve"> 75.3% (below nominal 95% due to bias)</w:t>
      </w:r>
    </w:p>
    <w:p>
      <w:pPr>
        <w:pStyle w:val="ListBullet"/>
      </w:pPr>
      <w:r>
        <w:rPr>
          <w:b/>
        </w:rPr>
        <w:t>Model Distribution:</w:t>
      </w:r>
      <w:r>
        <w:t xml:space="preserve"> ESM (82 counties), ARIMA (13 counties), UCM (5 counties)</w:t>
      </w:r>
    </w:p>
    <w:p>
      <w:r>
        <w:rPr>
          <w:b/>
        </w:rPr>
        <w:t>Key Finding:</w:t>
      </w:r>
      <w:r>
        <w:t xml:space="preserve"> EV adoption in North Carolina is accelerating faster than historical patterns predicted. The models systematically underestimated growth, particularly in high-growth urban counties (Mecklenburg, Wake). This suggests that forecast-based infrastructure planning should add a 4-5% buffer to account for faster-than-predicted adoption.</w:t>
      </w:r>
    </w:p>
    <w:p>
      <w:r>
        <w:rPr>
          <w:b/>
        </w:rPr>
        <w:t>Deliverables:</w:t>
      </w:r>
      <w:r>
        <w:t xml:space="preserve"> 8 publication-quality figures (600 DPI, PDF exports) documenting validation analysis.</w:t>
      </w:r>
    </w:p>
    <w:p>
      <w:pPr>
        <w:pStyle w:val="Heading1"/>
      </w:pPr>
      <w:r>
        <w:t>Extension Slice #2: ZIP Code Analysis + Infrastructure Update (Priority #2 + #5)</w:t>
      </w:r>
    </w:p>
    <w:p>
      <w:r>
        <w:t>County-level aggregation obscures intra-county variation. Wake County spans 857 square miles with 28 ZIP codes having dramatically different BEV densities.</w:t>
      </w:r>
    </w:p>
    <w:p>
      <w:r>
        <w:t>While NCDOT does not publish ZIP-level BEV data, charging stations have ZIP codes. The extension geocodes all 1,725 connectors, calculating infrastructure density metrics: ports per square mile, ports per capita, and spatial clustering.</w:t>
      </w:r>
    </w:p>
    <w:p>
      <w:r>
        <w:t>This integrates with Priority #5 (infrastructure update). The dual-snapshot approach (July 2024 + January 2026) calculates growth rates: which counties saw fastest deployment, what charger types were added, and whether new infrastructure targeted gap counties or amplified disparities.</w:t>
      </w:r>
    </w:p>
    <w:p>
      <w:r>
        <w:t>Value proposition: "deploy in ZIP codes 27603, 27607, 27615" provides actionable site selection. Analysis focuses on 100-120 ZIP codes within top 10 urban counties (80% of state BEVs).</w:t>
      </w:r>
    </w:p>
    <w:p>
      <w:pPr>
        <w:pStyle w:val="Heading1"/>
      </w:pPr>
      <w:r>
        <w:t>Extension Slice #3: Workplace Charging (Priority #3)</w:t>
      </w:r>
    </w:p>
    <w:p>
      <w:r>
        <w:t>The baseline treated BEV demand as residential (80% of charging at home). This is accurate but incomplete—EVs also require workplace charging.</w:t>
      </w:r>
    </w:p>
    <w:p>
      <w:r>
        <w:t>The workplace extension adds a second dimension using Census Transportation Planning Products (CTPP) data—county-to-county commuting flow matrices.</w:t>
      </w:r>
    </w:p>
    <w:p>
      <w:r>
        <w:t>The methodology identifies employment centers by calculating net commuting effects: inbound workers minus outbound residents. Wake County has 450,000 workers but only 350,000 residents employed within the county—100,000 daily inbound commuters representing workplace demand that residential analysis misses.</w:t>
      </w:r>
    </w:p>
    <w:p>
      <w:r>
        <w:t>Employment centers need 2-3 times more infrastructure than residential analysis suggests. Wake County's residential demand requires 1,700-2,500 ports. Adding workplace demand (8,400 net EV commuters) increases needs to 2,200-3,100 ports.</w:t>
      </w:r>
    </w:p>
    <w:p>
      <w:pPr>
        <w:pStyle w:val="Heading1"/>
      </w:pPr>
      <w:r>
        <w:t>Integration Logic</w:t>
      </w:r>
    </w:p>
    <w:p>
      <w:r>
        <w:t>The extensions connect through a dependency chain. Validation (Priority #1) established confidence in SAS Model Studio forecasting with MAPE 4.36% (below 5% threshold). The systematic underprediction finding (68.9% of forecasts below actuals) informs how forecasts should be applied: with a 4-5% upward buffer to account for accelerating adoption. The AFDC infrastructure update (Priority #5) provides the current baseline that subsequent extensions require.</w:t>
      </w:r>
    </w:p>
    <w:p>
      <w:r>
        <w:t>ZIP code analysis (Priority #2) and CTPP workplace charging (Priority #3) complement each other, creating a triple-layer model: county-level totals (baseline), sub-county spatial patterns (ZIP codes), and cross-county commuting flows (CTPP).</w:t>
      </w:r>
    </w:p>
    <w:p>
      <w:pPr>
        <w:pStyle w:val="Heading1"/>
      </w:pPr>
      <w:r>
        <w:t>Methodological Innovation Summary</w:t>
      </w:r>
    </w:p>
    <w:p>
      <w:r>
        <w:t>Five innovations distinguish this from typical EV infrastructure studies:</w:t>
      </w:r>
    </w:p>
    <w:p>
      <w:pPr>
        <w:pStyle w:val="ListNumber"/>
      </w:pPr>
      <w:r>
        <w:rPr>
          <w:b/>
        </w:rPr>
        <w:t>County-level granularity over 82 months:</w:t>
      </w:r>
      <w:r>
        <w:t xml:space="preserve"> Examines all 100 counties across seven years of monthly observations, enabling time series forecasting that captures heterogeneous adoption trajectories.</w:t>
      </w:r>
    </w:p>
    <w:p>
      <w:pPr>
        <w:pStyle w:val="ListNumber"/>
      </w:pPr>
      <w:r>
        <w:rPr>
          <w:b/>
        </w:rPr>
        <w:t>Connector-level infrastructure detail:</w:t>
      </w:r>
      <w:r>
        <w:t xml:space="preserve"> Analyzes 1,725 individual connectors rather than 355 stations—4.85 times more granular, enabling capacity-weighted analysis.</w:t>
      </w:r>
    </w:p>
    <w:p>
      <w:pPr>
        <w:pStyle w:val="ListNumber"/>
      </w:pPr>
      <w:r>
        <w:rPr>
          <w:b/>
        </w:rPr>
        <w:t>Dual-snapshot infrastructure growth:</w:t>
      </w:r>
      <w:r>
        <w:t xml:space="preserve"> Dual-snapshot approach (July 2024 + January 2026) treats temporal evolution as a research question, revealing whether market forces close gaps or amplify disparities.</w:t>
      </w:r>
    </w:p>
    <w:p>
      <w:pPr>
        <w:pStyle w:val="ListNumber"/>
      </w:pPr>
      <w:r>
        <w:rPr>
          <w:b/>
        </w:rPr>
        <w:t>Dual-dimension demand model:</w:t>
      </w:r>
      <w:r>
        <w:t xml:space="preserve"> Combines residential registrations with workplace commuting flows for complete demand picture.</w:t>
      </w:r>
    </w:p>
    <w:p>
      <w:pPr>
        <w:pStyle w:val="ListNumber"/>
      </w:pPr>
      <w:r>
        <w:rPr>
          <w:b/>
        </w:rPr>
        <w:t>Validation-first approach:</w:t>
      </w:r>
      <w:r>
        <w:t xml:space="preserve"> Tests forecast accuracy with out-of-sample data before policy recommendations.</w:t>
      </w:r>
    </w:p>
    <w:p>
      <w:pPr>
        <w:pStyle w:val="Heading1"/>
      </w:pPr>
      <w:r>
        <w:t>Conclusion</w:t>
      </w:r>
    </w:p>
    <w:p>
      <w:r>
        <w:t>EV Pulse NC addresses how North Carolina should allocate $109 million in NEVI funding to maximize efficiency and equity. The baseline analysis last semester established comprehensive county-level understanding. This semester's three extensions enhance that foundation by validating forecast accuracy, updating infrastructure data with dual-snapshot growth analysis, adding sub-county spatial precision, and incorporating workplace charging demand.</w:t>
      </w:r>
    </w:p>
    <w:p>
      <w:r>
        <w:t>The project provides stakeholders with actionable insights at multiple scales: statewide trends for policy, county-level forecasts for regional planning, ZIP code detail for site selection, and workplace demand sizing for employment centers.</w:t>
      </w:r>
    </w:p>
    <w:p>
      <w:r>
        <w:rPr>
          <w:b/>
        </w:rPr>
        <w:t>Project Team:</w:t>
      </w:r>
    </w:p>
    <w:p>
      <w:r>
        <w:t>Wolfgang Sanyer &amp; Braeden Baker</w:t>
      </w:r>
      <w:r>
        <w:br/>
      </w:r>
    </w:p>
    <w:p>
      <w:r>
        <w:t>MBA Candidates, Business &amp; Data Analytics Concentration</w:t>
      </w:r>
      <w:r>
        <w:br/>
      </w:r>
    </w:p>
    <w:p>
      <w:r>
        <w:t>Fayetteville State University</w:t>
      </w:r>
    </w:p>
    <w:p>
      <w:r>
        <w:rPr>
          <w:b/>
        </w:rPr>
        <w:t>Faculty Advisor:</w:t>
      </w:r>
      <w:r>
        <w:t xml:space="preserve"> Dr. Majed Al-Ghandour&lt;BR&gt;</w:t>
      </w:r>
    </w:p>
    <w:p>
      <w:r>
        <w:rPr>
          <w:b/>
        </w:rPr>
        <w:t>Course:</w:t>
      </w:r>
      <w:r>
        <w:t xml:space="preserve"> BIDA 670 - Advanced Analytics Capstone&lt;BR&gt;</w:t>
      </w:r>
    </w:p>
    <w:p>
      <w:r>
        <w:rPr>
          <w:b/>
        </w:rPr>
        <w:t>Semester:</w:t>
      </w:r>
      <w:r>
        <w:t xml:space="preserve"> Spring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