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Глава 1. Состояние вопроса и постановка задачи исследования (ПРОЕКТ)</w:t>
      </w:r>
    </w:p>
    <w:p>
      <w:pPr>
        <w:spacing w:line="312" w:lineRule="auto" w:after="100"/>
        <w:ind w:left="283"/>
        <w:jc w:val="both"/>
      </w:pPr>
      <w:r>
        <w:rPr>
          <w:rFonts w:ascii="Times New Roman" w:hAnsi="Times New Roman" w:cs="Times New Roman" w:eastAsia="Times New Roman"/>
          <w:b/>
          <w:i/>
          <w:sz w:val="24"/>
        </w:rPr>
        <w:t>Статус:</w:t>
      </w:r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 черновик на ревью научного руководителя (2026-06-16). Основан на верифицированном литературно-первичном обзоре (deep-research, 25 фактов, состязательная проверка) и реестре прайор-арта docs/novelty/prior_art_map.md + матрице кандидатов docs/novelty/novelty_candidates_matrix_2026-06-16.md. Ссылки даны в форме «автор, год»; полный список — в конце. Привязка к паспорту 2.4.2 — в разделе 1.7а (номера пунктов предварительные: официальный .ru-паспорт в среде подготовки не открылся — сверить по официальному тексту).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1.1. Объект исследования и актуальность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Объект — радиально-поточный </w:t>
      </w:r>
      <w:r>
        <w:rPr>
          <w:rFonts w:ascii="Times New Roman" w:hAnsi="Times New Roman" w:cs="Times New Roman" w:eastAsia="Times New Roman"/>
          <w:b/>
          <w:i w:val="0"/>
          <w:sz w:val="28"/>
        </w:rPr>
        <w:t>outrunner-двигатель с поверхностными постоянными магнитами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(SPM PMSM) мощностью </w:t>
      </w:r>
      <w:r>
        <w:rPr>
          <w:rFonts w:ascii="Times New Roman" w:hAnsi="Times New Roman" w:cs="Times New Roman" w:eastAsia="Times New Roman"/>
          <w:b/>
          <w:i w:val="0"/>
          <w:sz w:val="28"/>
        </w:rPr>
        <w:t>1–5 кВт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беспилотных летательных аппаратов; возбуждение — NdFeB, магнитопровод — Si-Fe (тип M270-35A). Такие машины ценятся за высокую удельную мощность и КПД, но в условиях БПЛА (перегрев, перегрузки, реакция якоря) ключевым ограничением надёжности становится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необратимое размагничивание постоянных магнитов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при заходе рабочей точки магнита за «колено» внутренней кривости J(H) часть остаточной индукции теряется безвозвратно, что деградирует момент и КПД.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Практическая постановка работы — не разовый расчёт одного изделия, 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методика и программный комплекс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применимые ко всему классу машин данного типа. Требование общности подтверждается на реальном изделии заказчика — щёточном двигателе постоянного тока с постоянными магнитами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ДП25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(16 Вт, 24 В, коллектор, 13 пазов, 4 магнита NdFeB), магнитная система которого решается тем же движком (магнитостатика + нелинейный демаг), что доказывает универсальность подхода по классам машин с одинаковым типом возбуждения.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Нерешённая инженерно-научная задача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(раскрывается в 1.2–1.7 и формализуется в 1.8): количественная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проектно-стадийная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оценка риска необратимого размагничивания магнитов в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открытой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(неограниченной) постановке поля, без искусственного усечения расчётной области, в единой модели с нелинейными свойствами материалов.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1.2. Методы расчёта магнитного поля и учёт открытой области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МКЭ (FEM)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отраслевой стандарт; точно описывает сложную геометрию и нелинейные свойства, но требует дискретизации внешнего воздуха и его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усечения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Учёт открытой границы в FEM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приближённые методы усечения: «бесконечный ящик»/инфинит-элементы (Altair Flux, COMSOL), преобразование Кельвина, «balloon»-граница (ANSYS Maxwell, Motor-CAD). Это </w:t>
      </w:r>
      <w:r>
        <w:rPr>
          <w:rFonts w:ascii="Times New Roman" w:hAnsi="Times New Roman" w:cs="Times New Roman" w:eastAsia="Times New Roman"/>
          <w:b/>
          <w:i w:val="0"/>
          <w:sz w:val="28"/>
        </w:rPr>
        <w:t>аппроксимация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а не точный учёт неограниченной области.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МГЭ (BEM)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даёт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точный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учёт внешней области одной поверхностной дискретизацией, без воздушной сетки; естественен для открытых задач, но плохо несёт объёмную нелинейность.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Связка FEM/BEM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комбинирует достоинства: нелинейный интерьер в FEM, точный экстерьер в BEM. Симметричная вектор-A/Неделек-edge связка для машин с циклической редукцией на сектор </w:t>
      </w:r>
      <w:r>
        <w:rPr>
          <w:rFonts w:ascii="Times New Roman" w:hAnsi="Times New Roman" w:cs="Times New Roman" w:eastAsia="Times New Roman"/>
          <w:b/>
          <w:i w:val="0"/>
          <w:sz w:val="28"/>
        </w:rPr>
        <w:t>разработана и является установленной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8"/>
        </w:rPr>
        <w:t>Kielhorn, Rüberg, Zechner, 2017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); отечественный симметричный FEM/BEM (МГЭ + быстрый мультипольный метод, скалярный потенциал, нелинейная сталь, ускорители)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Ступаков, 2016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(специальность 05.13.18).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Аналитические/субдоменные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методы 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магнитные эквивалентные схемы (MEC)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быстрые, но ограничены геометрией/линейностью; в КНР распространены гибриды «субдомен + FEM» и «Максвелл–Фурье + FEM».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Бессеточные методы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PINN/operator-learning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ранний незрелый фронтир: первый параметрический нелинейно-магнитостатический PINN (</w:t>
      </w:r>
      <w:r>
        <w:rPr>
          <w:rFonts w:ascii="Times New Roman" w:hAnsi="Times New Roman" w:cs="Times New Roman" w:eastAsia="Times New Roman"/>
          <w:b/>
          <w:i w:val="0"/>
          <w:sz w:val="28"/>
        </w:rPr>
        <w:t>Beltrán-Pulido и др., 2022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достиг инженерной точности (~0,8 %), но ценой </w:t>
      </w:r>
      <w:r>
        <w:rPr>
          <w:rFonts w:ascii="Times New Roman" w:hAnsi="Times New Roman" w:cs="Times New Roman" w:eastAsia="Times New Roman"/>
          <w:b/>
          <w:i w:val="0"/>
          <w:sz w:val="28"/>
        </w:rPr>
        <w:t>~14 суток обучения на случай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без магнитов/размагничивания.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Зазор по 1.2: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сама связка FEM/BEM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инфраструктура, не новизна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(занята Kielhorn). Коммерческие и отечественные средства открытую область закрывают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усечением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истинный BEM-экстерьер с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нелинейным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содержимым не сочетают.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1.3. Нелинейные материалы и необратимое размагничивание постоянных магнитов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Модель размагничивания B(H,T)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внутренняя кривая J(H), «колено», возвратная (recoil) проницаемость, температурные коэффициенты Br и Hc — установленный прайор-арт (</w:t>
      </w:r>
      <w:r>
        <w:rPr>
          <w:rFonts w:ascii="Times New Roman" w:hAnsi="Times New Roman" w:cs="Times New Roman" w:eastAsia="Times New Roman"/>
          <w:b/>
          <w:i w:val="0"/>
          <w:sz w:val="28"/>
        </w:rPr>
        <w:t>Ruoho, 2011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Times New Roman" w:hAnsi="Times New Roman" w:cs="Times New Roman" w:eastAsia="Times New Roman"/>
          <w:b/>
          <w:i w:val="0"/>
          <w:sz w:val="28"/>
        </w:rPr>
        <w:t>Zhou, Lin, 2012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Times New Roman" w:hAnsi="Times New Roman" w:cs="Times New Roman" w:eastAsia="Times New Roman"/>
          <w:b/>
          <w:i w:val="0"/>
          <w:sz w:val="28"/>
        </w:rPr>
        <w:t>Kern и др., 2023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Поэлементная карта риска / доля размагничивания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логика «рабочая точка против колена» реализованы в коммерческих пакетах (</w:t>
      </w:r>
      <w:r>
        <w:rPr>
          <w:rFonts w:ascii="Times New Roman" w:hAnsi="Times New Roman" w:cs="Times New Roman" w:eastAsia="Times New Roman"/>
          <w:b/>
          <w:i w:val="0"/>
          <w:sz w:val="28"/>
        </w:rPr>
        <w:t>ANSYS Maxwell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поле Demag_Coef; </w:t>
      </w:r>
      <w:r>
        <w:rPr>
          <w:rFonts w:ascii="Times New Roman" w:hAnsi="Times New Roman" w:cs="Times New Roman" w:eastAsia="Times New Roman"/>
          <w:b/>
          <w:i w:val="0"/>
          <w:sz w:val="28"/>
        </w:rPr>
        <w:t>JMAG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«коэффициент размагничивания») и в академических 2D-FEM-работах (</w:t>
      </w:r>
      <w:r>
        <w:rPr>
          <w:rFonts w:ascii="Times New Roman" w:hAnsi="Times New Roman" w:cs="Times New Roman" w:eastAsia="Times New Roman"/>
          <w:b/>
          <w:i w:val="0"/>
          <w:sz w:val="28"/>
        </w:rPr>
        <w:t>Niu и др., 2026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анализ при разных температурах и d-токе).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Размагничивание всё чаще ставят как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ограничение/цель оптимизации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8"/>
        </w:rPr>
        <w:t>Brody, Ohodnicki, Grainger, 2023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ROM + NSGA-II для низкотемпературного демага безредкоземельного MnBi).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Зазор по 1.3: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модель магнита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не нова сама по себе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принципиально, что вся демаг-литература реализована в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замкнутой/усечённой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постановке. Сочетания «нелинейное необратимое размагничивание + точная открытая граница (BEM)» в одной модели не выявлено (США/ЕС/КНР/РФ).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1.4. Мультифизическая связь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Магнитотепловая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связь — слабая (последовательная) схема является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отраслевым дефолтом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соображениям стоимости (сходимость в пределах ~1,2 % от монолита при ~×15 меньшей цене; </w:t>
      </w:r>
      <w:r>
        <w:rPr>
          <w:rFonts w:ascii="Times New Roman" w:hAnsi="Times New Roman" w:cs="Times New Roman" w:eastAsia="Times New Roman"/>
          <w:b/>
          <w:i w:val="0"/>
          <w:sz w:val="28"/>
        </w:rPr>
        <w:t>Sci. Reports, 2025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Коммерческие пакеты учитывают лишь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обратимые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μ(T), Hc(T), без «колена»/необратимости.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авиационных PMSM связанная магнитотепловая модель демага существует, но как </w:t>
      </w:r>
      <w:r>
        <w:rPr>
          <w:rFonts w:ascii="Times New Roman" w:hAnsi="Times New Roman" w:cs="Times New Roman" w:eastAsia="Times New Roman"/>
          <w:b/>
          <w:i w:val="0"/>
          <w:sz w:val="28"/>
        </w:rPr>
        <w:t>диагностика/мониторинг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</w:t>
      </w:r>
      <w:r>
        <w:rPr>
          <w:rFonts w:ascii="Times New Roman" w:hAnsi="Times New Roman" w:cs="Times New Roman" w:eastAsia="Times New Roman"/>
          <w:b/>
          <w:i w:val="0"/>
          <w:sz w:val="28"/>
        </w:rPr>
        <w:t>Yang, Zhang, Zhang, 2025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не как проектное предсказание в открытой области.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поверхностно-магнитных (SPM)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машин связанная магнитотепловая оценка демага выполнена методом замороженной проницаемости (</w:t>
      </w:r>
      <w:r>
        <w:rPr>
          <w:rFonts w:ascii="Times New Roman" w:hAnsi="Times New Roman" w:cs="Times New Roman" w:eastAsia="Times New Roman"/>
          <w:b/>
          <w:i w:val="0"/>
          <w:sz w:val="28"/>
        </w:rPr>
        <w:t>Zhu и др., Sheffield, 2023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— но в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замкнутом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FEM, post-check, не in-loop и не в открытой границе.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Зазор по 1.4: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проектно-стадийная связанная демаг-тепловая оценка в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открытой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постановке отсутствует; сильно-связанная (монолитная) постановка с in-loop необратимостью — открыта, но дорога.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1.5. Оптимизация машин с постоянными магнитами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Параметрическая, формы, </w:t>
      </w:r>
      <w:r>
        <w:rPr>
          <w:rFonts w:ascii="Times New Roman" w:hAnsi="Times New Roman" w:cs="Times New Roman" w:eastAsia="Times New Roman"/>
          <w:b/>
          <w:i w:val="0"/>
          <w:sz w:val="28"/>
        </w:rPr>
        <w:t>топологическая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оптимизация широко развиты. </w:t>
      </w:r>
      <w:r>
        <w:rPr>
          <w:rFonts w:ascii="Times New Roman" w:hAnsi="Times New Roman" w:cs="Times New Roman" w:eastAsia="Times New Roman"/>
          <w:b/>
          <w:i w:val="0"/>
          <w:sz w:val="28"/>
        </w:rPr>
        <w:t>Adjoint/топологически-производный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аппарат для PMSM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сильно занят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группой </w:t>
      </w:r>
      <w:r>
        <w:rPr>
          <w:rFonts w:ascii="Times New Roman" w:hAnsi="Times New Roman" w:cs="Times New Roman" w:eastAsia="Times New Roman"/>
          <w:b/>
          <w:i w:val="0"/>
          <w:sz w:val="28"/>
        </w:rPr>
        <w:t>Gangl/RICAM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(2016–2025): нелинейная магнитостатика, мультиматериал, непрерывное направление намагниченности, робастная min-max-оптимизация, электро-тепловая TO с </w:t>
      </w:r>
      <w:r>
        <w:rPr>
          <w:rFonts w:ascii="Times New Roman" w:hAnsi="Times New Roman" w:cs="Times New Roman" w:eastAsia="Times New Roman"/>
          <w:b/>
          <w:i w:val="0"/>
          <w:sz w:val="28"/>
        </w:rPr>
        <w:t>температурным ограничением защиты магнитов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Везде, однако, используется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фиксированная остаточная намагниченность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необратимое B(H,T)/«колено» в самой прямой задаче не учитывается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(демаг входит как внешнее ограничение). В КНР — преимущественно параметрическая/эвристическая топ-оптимизация ротора; adjoint-демаг как метод не выявлен.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Зазор по 1.5: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широкая «adjoint-оптимизация PMSM» — занято. Открыт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узкий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остаток: adjoint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сквозь регуляризованное «колено»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учётом необратимости в прямой задаче.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1.6. Суррогатные/редуцированные модели и сертификация точности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Быстрые суррогаты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нелинейной магнитостатики PMSM зрелы: IGA+POD+DNN даёт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~×30 000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ускорение при 14 параметрах и ошибке ~1–3 % (</w:t>
      </w:r>
      <w:r>
        <w:rPr>
          <w:rFonts w:ascii="Times New Roman" w:hAnsi="Times New Roman" w:cs="Times New Roman" w:eastAsia="Times New Roman"/>
          <w:b/>
          <w:i w:val="0"/>
          <w:sz w:val="28"/>
        </w:rPr>
        <w:t>Backmeyer, Schöps, 2026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⇒ «быстрый суррогат» сам по себе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не новизна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Сертифицированные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редуцированные модели с апостериорными оценками ошибки существуют для электромагнетики 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вращающихся машин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(школа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Hesthaven–Rozza–Stamm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</w:t>
      </w:r>
      <w:r>
        <w:rPr>
          <w:rFonts w:ascii="Times New Roman" w:hAnsi="Times New Roman" w:cs="Times New Roman" w:eastAsia="Times New Roman"/>
          <w:b/>
          <w:i w:val="0"/>
          <w:sz w:val="28"/>
        </w:rPr>
        <w:t>Haasdonk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Конформное предсказание (conformal prediction)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 суррогатах и в петле проектирования — опубликовано (</w:t>
      </w:r>
      <w:r>
        <w:rPr>
          <w:rFonts w:ascii="Times New Roman" w:hAnsi="Times New Roman" w:cs="Times New Roman" w:eastAsia="Times New Roman"/>
          <w:b/>
          <w:i w:val="0"/>
          <w:sz w:val="28"/>
        </w:rPr>
        <w:t>RESS, 2025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); для </w:t>
      </w:r>
      <w:r>
        <w:rPr>
          <w:rFonts w:ascii="Times New Roman" w:hAnsi="Times New Roman" w:cs="Times New Roman" w:eastAsia="Times New Roman"/>
          <w:b/>
          <w:i w:val="0"/>
          <w:sz w:val="28"/>
        </w:rPr>
        <w:t>электрических машин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специально — почти не встречается; в КНР сертификация/conformal для машин не выявлена (доминируют Байес-оптимизация, PINN, ROM без гарантий).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Зазор по 1.6: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новизна возможна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узкая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время-чувствительная — конформная гарантия на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метрике риска размагничивания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как модель-агностическое дополнение к апостериорным оценкам, с переключением области доверия по «колену».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1.7. Программные средства: зарубежные, открытые, отечественные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742"/>
            <w:shd w:val="clear" w:color="auto" w:fill="D9E2F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Средство</w:t>
            </w:r>
          </w:p>
        </w:tc>
        <w:tc>
          <w:tcPr>
            <w:tcW w:type="dxa" w:w="1871"/>
            <w:shd w:val="clear" w:color="auto" w:fill="D9E2F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Нелин. необратимый демаг</w:t>
            </w:r>
          </w:p>
        </w:tc>
        <w:tc>
          <w:tcPr>
            <w:tcW w:type="dxa" w:w="1871"/>
            <w:shd w:val="clear" w:color="auto" w:fill="D9E2F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Открытая граница</w:t>
            </w:r>
          </w:p>
        </w:tc>
        <w:tc>
          <w:tcPr>
            <w:tcW w:type="dxa" w:w="1871"/>
            <w:shd w:val="clear" w:color="auto" w:fill="D9E2F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BEM-экстерьер + демаг вместе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ANSYS Maxwell / Motor-CAD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balloon (усечение)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Altair Flux / FluxMotor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infinite box (трансформация, «не BEM»)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Siemens Simcenter MAGNET/Motorsolve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меш-воздух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COMSOL AC/DC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 (в FEM)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гибрид FEM-BEM, но BEM = скаляр No-Currents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JMAG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усечение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FEMM / открытый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частично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IABC/Кельвин (усечение)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Kielhorn 2017 (академ., ЕС)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(линеен)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истинный FEM/BEM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Ступаков 2016 (РФ, 05.13.18)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 (линеен)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FEM/BEM + FMM (скаляр)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EasiMotor / Simdroid / ZWSOFT (КНР)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 (FEM)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усечение/FEM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Субдомен-FE гибрид (КНР)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субдомен-аналитика (не BEM)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нет</w:t>
            </w:r>
          </w:p>
        </w:tc>
      </w:tr>
      <w:tr>
        <w:tc>
          <w:tcPr>
            <w:tcW w:type="dxa" w:w="3742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Разрабатываемый комплекс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да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истинный FEM/BEM (Стеклов–Пуанкаре)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да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Отечественные средства РФ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(ELCUT и др.) — 2D/осесимметричный FEM, открытая граница — усечением; связки открытый FEM/BEM + необратимый демаг-risk нет.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Китайские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EasiMotor/Simdroid/ZWSOFT — FEM-комплексы без этой связки. ⇒ </w:t>
      </w:r>
      <w:r>
        <w:rPr>
          <w:rFonts w:ascii="Times New Roman" w:hAnsi="Times New Roman" w:cs="Times New Roman" w:eastAsia="Times New Roman"/>
          <w:b/>
          <w:i w:val="0"/>
          <w:sz w:val="28"/>
        </w:rPr>
        <w:t>ни отечественного, ни зарубежного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программного средства, объединяющего точную открытую границу с нелинейным необратимым размагничиванием и поэлементной картой риска, не выявлено (актуально для импортозамещения расчётного ПО).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1.7а. Соответствие паспорту специальности 2.4.2</w:t>
      </w:r>
    </w:p>
    <w:p>
      <w:pPr>
        <w:spacing w:line="312" w:lineRule="auto" w:after="10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 xml:space="preserve">Официальный паспорт 2.4.2 в среде подготовки не открылся (.ru-источники недоступны для автозагрузки); ниже — привязка по областям исследования в стандартной редакции. </w:t>
      </w:r>
      <w:r>
        <w:rPr>
          <w:rFonts w:ascii="Times New Roman" w:hAnsi="Times New Roman" w:cs="Times New Roman" w:eastAsia="Times New Roman"/>
          <w:b/>
          <w:i/>
          <w:sz w:val="24"/>
        </w:rPr>
        <w:t>Номера пунктов — предварительные; сверить по официальному тексту паспорта.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Области исследования паспорта 2.4.2 (стандартная редакция; сверить):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Развитие общей теории электротехнических комплексов и систем; физическое, математическое, имитационное и компьютерное моделирование компонентов, </w:t>
      </w:r>
      <w:r>
        <w:rPr>
          <w:rFonts w:ascii="Times New Roman" w:hAnsi="Times New Roman" w:cs="Times New Roman" w:eastAsia="Times New Roman"/>
          <w:b/>
          <w:i w:val="0"/>
          <w:sz w:val="28"/>
        </w:rPr>
        <w:t>включая электромеханические и электромагнитные преобразователи энергии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Обоснование совокупности критериев оценки решений при проектировании, создании и эксплуатации.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cs="Times New Roman" w:eastAsia="Times New Roman"/>
          <w:b/>
          <w:i w:val="0"/>
          <w:sz w:val="28"/>
        </w:rPr>
        <w:t>Разработка, структурный и параметрический синтез,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комплексов и их компонентов; алгоритмы управления.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cs="Times New Roman" w:eastAsia="Times New Roman"/>
          <w:b/>
          <w:i w:val="0"/>
          <w:sz w:val="28"/>
        </w:rPr>
        <w:t>Исследование работоспособности и качества функционирования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различных режимах и при внешних воздействиях; диагностика.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Научные основы жизненного цикла комплексов (создание, эксплуатация, утилизация).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6236"/>
            <w:shd w:val="clear" w:color="auto" w:fill="D9E2F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Результат / новизна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Область паспорта 2.4.2 (предв., сверить №)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НН-1 / П-1 (B(H,T)+демаг в открытом FEM/BEM)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п.1 (моделирование преобразователей) + п.4 (работоспособность/надёжность)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П-3 (закономерности локализации демага)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п.4 (качество функционирования при внешних воздействиях)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НН-2 / П-2 (обобщённый комплекс, общность)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п.1 (комп. моделирование) + п.3 (синтез/оптимизация)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НН-3 / П-4 (adjoint сквозь колено)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п.3 (оптимизация)</w:t>
            </w:r>
          </w:p>
        </w:tc>
      </w:tr>
      <w:tr>
        <w:tc>
          <w:tcPr>
            <w:tcW w:type="dxa" w:w="623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НН-4 / П-5 (сертиф. суррогат, достоверность)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п.1 + п.3</w:t>
            </w:r>
          </w:p>
        </w:tc>
      </w:tr>
    </w:tbl>
    <w:p>
      <w:pPr>
        <w:spacing w:after="40"/>
      </w:pP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1.8. Выводы по обзору, нерешённые задачи, цель и задачи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Нерешённые задачи (белое пятно), подтверждённые на США/ЕС/КНР/РФ: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Все известные открытые FEM/BEM-решатели для машин держат магнит </w:t>
      </w:r>
      <w:r>
        <w:rPr>
          <w:rFonts w:ascii="Times New Roman" w:hAnsi="Times New Roman" w:cs="Times New Roman" w:eastAsia="Times New Roman"/>
          <w:b/>
          <w:i w:val="0"/>
          <w:sz w:val="28"/>
        </w:rPr>
        <w:t>линейным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все известные решатели необратимого размагничивания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замкнутые/усечённые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Сочетание в одной модели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отсутствует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Проектно-стадийная (не диагностическая) оценка демаг-надёжности в открытой области для авиа/БПЛА-PMSM — не реализована.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Обобщённого верифицированного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программного комплекса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(открытая граница + необратимый демаг + карта риска), переносимого по классам PM-машин, нет ни в РФ, ни за рубежом.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Узкие, но открытые ниши: adjoint </w:t>
      </w:r>
      <w:r>
        <w:rPr>
          <w:rFonts w:ascii="Times New Roman" w:hAnsi="Times New Roman" w:cs="Times New Roman" w:eastAsia="Times New Roman"/>
          <w:b/>
          <w:i w:val="0"/>
          <w:sz w:val="28"/>
        </w:rPr>
        <w:t>сквозь регуляризованное «колено»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сертификация суррогата </w:t>
      </w:r>
      <w:r>
        <w:rPr>
          <w:rFonts w:ascii="Times New Roman" w:hAnsi="Times New Roman" w:cs="Times New Roman" w:eastAsia="Times New Roman"/>
          <w:b/>
          <w:i w:val="0"/>
          <w:sz w:val="28"/>
        </w:rPr>
        <w:t>риска размагничивания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конформным предсказанием.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 (проект):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«Повышение показателей и стойкости к размагничиванию синхронных двигателей с поверхностными постоянными магнитами для БПЛА на основе методики и программного комплекса расчёта поля в открытой области».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исследования: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повышение показателей и стойкости к необратимому размагничиванию синхронных двигателей с поверхностными постоянными магнитами и внешним ротором для беспилотных летательных аппаратов на основе разрабатываемых методики и программного комплекса расчёта магнитного поля и количественной оценки риска размагничивания в открытой (неограниченной) постановке, переносимых на класс машин с постоянными магнитами данного типа.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исследования: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Провести анализ состояния вопроса и выявить нерешённую задачу — отсутствие совместного учёта неограниченной внешней области и нелинейного необратимого размагничивания в одной модели.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Разработать и верифицировать связанный решатель открытой области (симметричная FEM/BEM, вектор-A/рёберные элементы Неделека, оператор Стеклова–Пуанкаре) как обеспечивающую инфраструктуру (аналитические бенчмарки).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Встроить нелинейную температурно-зависимую модель магнита B(H,T) с детектированием «колена» на кривой J(H) 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поэлементной картой риска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ΔB_r/B_r; верифицировать (MMS, аналитическая нелинейная сфера).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Реализовать связанный нелинейный решатель (Пикар/Ньютон с недорелаксацией) и установить закономерности необратимого размагничивания при </w:t>
      </w:r>
      <w:r>
        <w:rPr>
          <w:rFonts w:ascii="Times New Roman" w:hAnsi="Times New Roman" w:cs="Times New Roman" w:eastAsia="Times New Roman"/>
          <w:b/>
          <w:i w:val="0"/>
          <w:sz w:val="28"/>
        </w:rPr>
        <w:t>тепловых воздействиях и реакции якоря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Обеспечить модульность (opt-in-архитектура) и подтвердить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переносимость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методики на класс машин с ПМ (PMSM и ДПТ с ПМ — ДП25).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6. (Перспектива) Разработать аппарат сопряжённого (adjoint) анализа чувствительности сквозь регуляризованное «колено» для демаг-осознанного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повышения показателей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(Перспектива) Построить сертифицированную (конформную) иерархию суррогатных моделей риска размагничивания.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8. Применить комплекс к 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проектированию и повышению показателей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базового двигателя; подтвердить достоверность сопоставлением с аналитическими решениями и известными результатами.</w:t>
      </w:r>
    </w:p>
    <w:p>
      <w:pPr>
        <w:keepNext/>
        <w:spacing w:before="200" w:after="100" w:line="36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Ключевые источники (верифицированы; полный текст сверить перед защитой)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Kielhorn, Rüberg, Zechner (COMPEL, 2017; arXiv:1610.05472); Ступаков (дис. НГТУ, 2016, ВАК 05.13.18); Ruoho (дис. Aalto, 2011); Zhou, Lin (IEEE TMAG, 2012); Kern, Leuning, Hameyer (AIP Advances, 2023); Niu, Li, Xi (WEVJ, 2026); ANSYS Maxwell (док. v242); JMAG (док.); Altair Flux (док. «infinite box»); Sci. Reports s41598-025-04518-y (2025, слабая связь); Yang, Zhang, Zhang (MDPI Aerospace, 2025); Zhu и др. (Energies, 2023, SPM EM-тепло-демаг); Gangl, Amstutz, Langer (IEEE TMAG, 2016) и Gangl/Krenn/Schöps (arXiv:2504.05070; 2507.14759; 2404.12188, 2024–2025); Backmeyer, Wiesheu, Schöps (arXiv:2507.19255, 2026); Brody, Ohodnicki, Grainger (IEEE ITEC, 2023); Beltrán-Pulido, Bilionis, Aliprantis (IEEE TEC, 2022); Hesthaven–Rozza–Stamm (Certified RB); RESS S0951832025009822 (2025, CP в проектировании); PIER (внешнеротор. PMSM, гибрид FEA+BEM, без демага); отеч. КНР: EasiMotor, Simdroid; РФ: ELCUT. Подробные статусы и цитаты — docs/novelty/prior_art_map.md.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