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ПРОЕКТ</w:t>
        <w:br/>
        <w:t>Научная новизна и положения, выносимые на защиту</w:t>
      </w:r>
    </w:p>
    <w:p>
      <w:pPr>
        <w:spacing w:after="6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Специальность 2.4.2 «Электротехнические комплексы и системы» (к.т.н.).</w:t>
      </w:r>
    </w:p>
    <w:p>
      <w:pPr>
        <w:spacing w:after="6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Объект: радиально-поточный outrunner-двигатель с поверхностными постоянными магнитами (SPM PMSM) 1–5 кВт для БПЛА; магниты NdFeB, сталь типа M270-35A. Изделие-кейс общности: щёточный ДПТ с постоянными магнитами ДП25.</w:t>
      </w:r>
    </w:p>
    <w:p>
      <w:pPr>
        <w:spacing w:after="6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Статус документа: ПРОЕКТ на ревью научного руководителя. НЕ заменяет авторский «Научная_новизна_2_4_2.docx» до согласования (формулировки новизны — supervisor-gated). Дата: 16 июня 2026 г.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Основание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Формулировки выведены из литературно-первичного обзора (deep-research, 5 направлений, 25 фактов, верифицированных состязательной проверкой) и реестра прайор-арта (docs/novelty/prior_art_map.md, сверка по США/ЕС/КНР/РФ). Каждый пункт новизны разграничен против известных решений, как того требует Положение о присуждении учёных степеней (ПП РФ № 842): «предложенные решения должны быть аргументированы и оценены по сравнению с известными». Статусы достигнутости указаны явно.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Тема, цель и задачи исследования (проект)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Тема (проект):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«Повышение показателей и стойкости к размагничиванию синхронных двигателей с поверхностными постоянными магнитами для беспилотных летательных аппаратов на основе методики и программного комплекса расчёта поля в открытой области».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Цель: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повышение показателей и стойкости к необратимому размагничиванию синхронных двигателей с поверхностными постоянными магнитами и внешним ротором для БПЛА на основе разрабатываемых методики и программного комплекса расчёта магнитного поля и количественной оценки риска размагничивания в открытой (неограниченной) постановке, переносимых на класс машин с постоянными магнитами данного типа.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Задачи:</w:t>
      </w:r>
    </w:p>
    <w:p>
      <w:pPr>
        <w:spacing w:line="360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состояния вопроса; выявление нерешённой задачи — отсутствие совместного учёта неограниченной внешней области и нелинейного необратимого размагничивания в одной модели.</w:t>
      </w:r>
    </w:p>
    <w:p>
      <w:pPr>
        <w:spacing w:line="360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Разработать и верифицировать связанный решатель открытой области (симметричная FEM/BEM, вектор-A/рёберные элементы Неделека, оператор Стеклова–Пуанкаре) как обеспечивающую инфраструктуру.</w:t>
      </w:r>
    </w:p>
    <w:p>
      <w:pPr>
        <w:spacing w:line="360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Встроить нелинейную температурно-зависимую модель магнита B(H,T) с детектированием «колена» (J(H)) и поэлементной картой риска ΔB_r/B_r; верифицировать (MMS, аналитическая сфера).</w:t>
      </w:r>
    </w:p>
    <w:p>
      <w:pPr>
        <w:spacing w:line="360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связанный нелинейный решатель и установить закономерности необратимого размагничивания при тепловых воздействиях и реакции якоря.</w:t>
      </w:r>
    </w:p>
    <w:p>
      <w:pPr>
        <w:spacing w:line="360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Обеспечить модульность (opt-in) и подтвердить переносимость методики на класс машин с ПМ (PMSM и ДПТ с ПМ — ДП25).</w:t>
      </w:r>
    </w:p>
    <w:p>
      <w:pPr>
        <w:spacing w:line="360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(Перспектива) Разработать adjoint-чувствительности сквозь регуляризованное «колено» для демаг-осознанного повышения показателей.</w:t>
      </w:r>
    </w:p>
    <w:p>
      <w:pPr>
        <w:spacing w:line="360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7.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(Перспектива) Построить сертифицированную (конформную) иерархию суррогатов риска размагничивания.</w:t>
      </w:r>
    </w:p>
    <w:p>
      <w:pPr>
        <w:spacing w:line="360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8.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Применить комплекс к проектированию и повышению показателей базового двигателя; подтвердить достоверность сопоставлением с аналитикой и известными решениями.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Научная новизна</w:t>
      </w:r>
    </w:p>
    <w:p>
      <w:pPr>
        <w:keepNext/>
        <w:spacing w:line="360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НН-1 (головная; статус: достигнуто и верифицировано)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Впервые разработана методика совместного расчёта магнитного поля и количественной оценки риска необратимого размагничивания постоянных магнитов синхронной машины с поверхностными магнитами, в которой нелинейная температурно-зависимая характеристика магнита B(H,T) с детектированием «колена» на внутренней кривой J(H) и поэлементной картой необратимой потери остаточной индукции ΔB_r/B_r реализована на конечно-элементной стороне связанного решателя неограниченной (открытой) области, сопряжённого через граничные элементы (оператор Стеклова–Пуанкаре) без искусственного усечения расчётной области.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Отличается тем, что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в отличие от известных открытых FEM/BEM-решателей для электрических машин (Kielhorn, Rüberg, Zechner, 2017; Ступаков, 2016), удерживающих магнит линейным (постоянная намагниченность), и в отличие от известных моделей необратимого размагничивания (Ruoho, 2011; Kern, 2023; Niu, 2026), реализованных в замкнутой либо усечённой двумерной постановке, — впервые объединяет в одной модели точный учёт неограниченной внешней области и нелинейное необратимое размагничивание с поэлементной картой риска.</w:t>
      </w:r>
    </w:p>
    <w:p>
      <w:pPr>
        <w:keepNext/>
        <w:spacing w:line="360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НН-2 (методика общности + программный комплекс; статус: ядро достигнуто, кросс-классовая демонстрация в работе)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Впервые предложена обобщённая методика и реализующий её программный комплекс магнитостатического анализа устройств с постоянными магнитами с модульной (opt-in) архитектурой физических расширений, обеспечивающие применимость единого верифицированного решателя без переформулировки к различным классам машин.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Отличается тем, что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общность подтверждается на принципиально разных изделиях — бесщёточной синхронной машине с поверхностными магнитами и щёточном двигателе постоянного тока с постоянными магнитами (на примере серийного изделия ДП25), — тогда как известные отечественные и зарубежные средства привязаны к одному классу машин/инструменту и не сочетают точную открытую границу с нелинейным необратимым размагничиванием; отечественного программного комплекса с такой совокупностью свойств не выявлено (актуально для импортозамещения расчётного ПО).</w:t>
      </w:r>
    </w:p>
    <w:p>
      <w:pPr>
        <w:keepNext/>
        <w:spacing w:line="360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НН-3 (узкая; статус: планируется, фаза E)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Впервые получены соотношения сопряжённого (adjoint) анализа чувствительности целевых функционалов (электромагнитный момент; запас рабочей точки до «колена» размагничивания) к геометрическим и материальным параметрам через регуляризованную до класса C¹ характеристику «колена» непосредственно в прямой невязке связанного открытого решателя.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Отличается тем, что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в отличие от известных adjoint- и топологически-производных подходов к оптимизации PM-машин (Gangl и др., 2016–2025), использующих фиксированную остаточную намагниченность и учитывающих размагничивание лишь как внешнее ограничение, — необратимое размагничивание учитывается в самой прямой задаче с контролируемым бюджетом смещения регуляризации. Заявляется узко (остаточная область после работ группы RICAM).</w:t>
      </w:r>
    </w:p>
    <w:p>
      <w:pPr>
        <w:keepNext/>
        <w:spacing w:line="360" w:lineRule="auto" w:before="16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НН-4 (узкая, время-чувствительная; статус: планируется, фаза F)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Впервые предложена сертифицированная иерархия суррогатных моделей (полная модель → редуцированная → нейросетевая) для проектной оценки риска размагничивания машины с постоянными магнитами, в которой гарантия точности обеспечивается распределённо-свободным конформным предсказанием (conformal prediction) с переключением области доверия (trust-region) по физическому признаку «колена».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Отличается тем, что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в отличие от известных быстрых суррогатов для PMSM без гарантий (Backmeyer, Schöps, 2026) и известных апостериорно-сертифицированных редуцированных моделей (школа Hesthaven–Rozza–Stamm; Haasdonk), — конформная гарантия применяется к метрике риска размагничивания как модель-агностическое дополнение к апостериорным оценкам. Фиксировать поздно (риск устаревания).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Положения, выносимые на защиту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П-1 (из НН-1).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Методика совместного открытого (FEM/BEM) расчёта магнитного поля и нелинейного необратимого размагничивания B(H,T) с детектированием «колена» и поэлементной картой риска ΔB_r/B_r, впервые объединяющая точный учёт неограниченной внешней области и необратимое размагничивание в единой модели.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П-2 (из НН-2).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Обобщённый программный комплекс с opt-in-архитектурой, применимый без переформулировки к разным классам машин с постоянными магнитами (PMSM и ДПТ с ПМ), что подтверждает методическую общность подхода.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П-3 (установленный результат).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Закономерности локализации и количественная оценка необратимой потери ΔB_r/B_r в магнитах outrunner-PMSM при совместном действии перегрева и реакции якоря, полученные в открытой постановке и подтверждённые верификацией (см. раздел «Достоверность»).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П-4 (из НН-3; планируется).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Метод сопряжённого (adjoint) анализа чувствительности сквозь регуляризованное «колено» размагничивания для демаг-осознанной оптимизации, учитывающий необратимость в прямой задаче.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П-5 (из НН-4; планируется).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Сертифицированная конформная иерархия суррогатных моделей риска размагничивания с переключением области доверия по физическому признаку «колена».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Соответствие паспорту 2.4.2 и публикациям</w:t>
      </w:r>
    </w:p>
    <w:p>
      <w:pPr>
        <w:keepNext/>
        <w:spacing w:line="240" w:lineRule="auto" w:before="160" w:after="60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 — Связь новизны, положений, областей паспорта и публикаций (№ пунктов — предварительные, сверить по офиц. паспорту 2.4.2)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Новизна / положение</w:t>
            </w:r>
          </w:p>
        </w:tc>
        <w:tc>
          <w:tcPr>
            <w:tcW w:type="dxa" w:w="3515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Область исследования паспорта 2.4.2 (тема; № уточнить)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Публикация</w:t>
            </w:r>
          </w:p>
        </w:tc>
        <w:tc>
          <w:tcPr>
            <w:tcW w:type="dxa" w:w="1644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Статус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НН-1 / П-1, П-3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Матем. и компьютерное моделирование электротехн. комплексов и их компонентов; методы анализа поля и надёжности (п. 1, 4 — предв., сверить)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Статья 1 «Необратимое размагничивание в открытой области» (есть)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достигнуто, верифицировано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НН-2 / П-2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Разработка методов и программных средств анализа/синтеза электротехн. комплексов и систем (п. 1, 3 — предв., сверить)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Статья 2 (планируется): комплекс + общность по классам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ядро готово; ДП25-кейс в работе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НН-3 / П-4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Методы оптимизации электротехн. устройств и комплексов (п. 3 — предв., сверить)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Статья 3 (планируется): adjoint сквозь колено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планируется (фаза E)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НН-4 / П-5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Методы расчёта с оценкой достоверности/неопределённости результатов (п. 1, 3 — предв., сверить)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Препринт/статья 4 (планируется): сертиф. суррогат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планируется (фаза F)</w:t>
            </w:r>
          </w:p>
        </w:tc>
      </w:tr>
    </w:tbl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Что НЕ заявляется как научная новизна (во избежание вопросов оппонента)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Следующие элементы — установленный прайор-арт либо обеспечивающая инфраструктура; в работе используются как корректно реализованная основа, но самостоятельной новизной не объявляются: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Симметричная связка FEM/BEM (вектор-A, Неделек, циклическая редукция на сектор) — занята (Kielhorn, Rüberg, Zechner, 2017; Ступаков, 2016). Подаётся как обеспечивающая архитектура.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Сама модель размагничивания B(H,T) с «коленом» и recoil — прайор-арт (Ruoho, 2011; Kern, 2023). Ново только её встраивание в открытый решатель (НН-1).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Циклическая/блок-циркулянтная редукция BEM на сектор и когомологические (калибровочные) поправки — установленные техники; используются как корректностные средства, не как вклад.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Достоверность результатов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Достоверность обеспечена независимыми оракулами и сопоставлением с известными решениями (требование Положения): метод многообразных решений (MMS) с подтверждённым порядком сходимости для рёберных элементов Неделека; аналитический оракул нелинейной сферы B·(2ν(B)+1)=3H₀ (совпадение объёмного среднего до ~1·10⁻⁴); три канонических бенчмарка (намагниченная и проницаемая сфера, куб); демонстрация физически корректного частичного необратимого размагничивания при повышенной температуре и встречном поле; сверка модели магнита с расчётной методикой заказчика (значение индукции «колена»).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 Открытые действия до фиксации (на согласование с научным руководителем)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Синхронизировать авторский «Научная_новизна_2_4_2.docx»: снять п.1 (связка FEM/BEM) из новизны, переформулировать пп.3–4 (узко), привести к настоящему набору — через гейт научрука.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Привязать каждый пункт к конкретным номерам областей исследования паспорта 2.4.2.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Обеспечить публикации перечня ВАК под НН-2 и узкие НН-3/НН-4 (под НН-1 статья имеется); уточнить требуемое число и категории изданий в диссовете.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Закрыть остаточный риск прайор-арта полнотекстовым добором по CNKI/Wanfang (КНР) и eLibrary/dissercat (РФ).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Утвердить итоговые формулировки положений, выносимых на защиту, и их число (обычно 3–7).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