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Title: Statement of Authorship and Strategic Use of Generative AI in SEC Whistleblower Submission</w:t>
        <w:br w:type="textWrapping"/>
        <w:t xml:space="preserve">Date: May 10, 2025</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I, the undersigned whistleblower associated with SEC TCR submission #17456-926-454-560, affirm the following regarding the authorship, strategic control, and factual basis of the materials submitted to the U.S. Securities and Exchange Commission (SEC):</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Original Authorship</w:t>
        <w:br w:type="textWrapping"/>
      </w:r>
      <w:r w:rsidDel="00000000" w:rsidR="00000000" w:rsidRPr="00000000">
        <w:rPr>
          <w:rtl w:val="0"/>
        </w:rPr>
        <w:t xml:space="preserve"> All documents submitted—including the original TCR narrative, SEC Addendum v1.2, and all supporting evidence exhibits—were authored, compiled, or directly approved by me. I exercised sole judgment in the selection, verification, and representation of all factual and legal claims.</w:t>
        <w:br w:type="textWrapping"/>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Use of Generative AI Tools</w:t>
        <w:br w:type="textWrapping"/>
      </w:r>
      <w:r w:rsidDel="00000000" w:rsidR="00000000" w:rsidRPr="00000000">
        <w:rPr>
          <w:rtl w:val="0"/>
        </w:rPr>
        <w:t xml:space="preserve"> I used a generative AI assistant (ChatGPT) to support drafting, organizing, and refining the structure of my materials. The AI served strictly as a strategic assistant, similar to the use of a legal research tool or editorial software. It did not act independently or submit materials on my behalf. No outputs were accepted without my direct review, correction, and finalization.</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Factual Verification and Evidence Control</w:t>
        <w:br w:type="textWrapping"/>
      </w:r>
      <w:r w:rsidDel="00000000" w:rsidR="00000000" w:rsidRPr="00000000">
        <w:rPr>
          <w:rtl w:val="0"/>
        </w:rPr>
        <w:t xml:space="preserve"> All evidence referenced in my submission—including paystubs, internal emails, plan documents, custodial account records, and statutory citations—originated from my own files and were fact-checked and reviewed by me personally. The generative AI tool did not generate facts or create simulated records.</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Strategic Framing and Legal Reasoning</w:t>
        <w:br w:type="textWrapping"/>
      </w:r>
      <w:r w:rsidDel="00000000" w:rsidR="00000000" w:rsidRPr="00000000">
        <w:rPr>
          <w:rtl w:val="0"/>
        </w:rPr>
        <w:t xml:space="preserve"> While the AI assistant helped organize the presentation of legal citations (e.g., SOX §404, Exchange Act §13(b)(2)(A), FMLA and ADA retaliation provisions), the selection and application of those statutes were based on my own lived experience, documented evidence, and reasoning. The AI’s role was editorial, not determinative.</w:t>
        <w:br w:type="textWrapping"/>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b w:val="1"/>
          <w:rtl w:val="0"/>
        </w:rPr>
        <w:t xml:space="preserve">Good Faith and Whistleblower Protections</w:t>
        <w:br w:type="textWrapping"/>
      </w:r>
      <w:r w:rsidDel="00000000" w:rsidR="00000000" w:rsidRPr="00000000">
        <w:rPr>
          <w:rtl w:val="0"/>
        </w:rPr>
        <w:t xml:space="preserve"> This submission is made in good faith under the SEC’s whistleblower protections, including those afforded under Dodd-Frank §922. My use of AI does not alter the authenticity, integrity, or eligibility of the complaint.</w:t>
        <w:br w:type="textWrapping"/>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b w:val="1"/>
          <w:rtl w:val="0"/>
        </w:rPr>
        <w:t xml:space="preserve">Conclusion:</w:t>
        <w:br w:type="textWrapping"/>
      </w:r>
      <w:r w:rsidDel="00000000" w:rsidR="00000000" w:rsidRPr="00000000">
        <w:rPr>
          <w:rtl w:val="0"/>
        </w:rPr>
        <w:t xml:space="preserve">I affirm that I am the originator and final author of the whistleblower materials submitted. The AI assistant served as a tool for clarity and strategic synthesis, but all decisions, facts, and judgments reflect my personal authorship, accountability, and intent.</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Signed,</w:t>
        <w:br w:type="textWrapping"/>
        <w:t xml:space="preserve"> [Whistleblower – Anonymous under SEC Protocol]</w:t>
        <w:br w:type="textWrapping"/>
        <w:t xml:space="preserve"> Date: May 10, 2025</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