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Wolfgang Schram</w:t>
      </w:r>
    </w:p>
    <w:p>
      <w:pPr>
        <w:spacing w:after="2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Los Angeles, California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|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3109978359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| </w:t>
      </w:r>
      <w:hyperlink w:history="1" r:id="rIdakho1i4wjjmywkxjf3fip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wolfbroadcast@gmail.com</w:t>
        </w:r>
      </w:hyperlink>
      <w:r>
        <w:rPr>
          <w:rFonts w:ascii="Arial" w:cs="Arial" w:eastAsia="Arial" w:hAnsi="Arial"/>
          <w:color w:val="555555"/>
          <w:sz w:val="19"/>
          <w:szCs w:val="19"/>
        </w:rPr>
        <w:t xml:space="preserve"> | </w:t>
      </w:r>
      <w:hyperlink w:history="1" r:id="rIdxgkbfa9qrpj_l-wgnnn8r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https://www.linkedin.com/in/wolfgang-schram-a4837420/</w:t>
        </w:r>
      </w:hyperlink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NEOGOV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March 6, 2026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Dear Hiring Manager,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NEOGOV is at an inflection point — serving 7,000+ government agencies with AI-enabled HR software means your engineering organization isn't just building products, it's building infrastructure that public sector institutions depend on daily. That's a different kind of pressure, and it requires a different kind of leadership.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VP role exists because technical excellence at scale isn't self-sustaining. You need someone who can lead a global engineering organization through the complexity of serving diverse government clients while driving innovation, maintaining reliability, and building a culture where teams own outcomes without burning out. The challenge isn't just hiring engineers — it's architecting an organization that delivers predictably across product lines, geographies, and the unforgiving requirements of public sector clients.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I've built that kind of organization before. At Diversified, I led 250+ engineers globally and merged two separate engineering disciplines — broadcast and workplace technology — into a unified delivery organization that operated across North America and our India GCC. I didn't inherit alignment; I built it. That included launching our offshore engineering center from scratch, developing vendor partnerships, and creating the operating model that allowed teams in multiple timezones to ship without heroics.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Here's what matters for NEOGOV: I've delivered mission-critical systems for government clients, including the US Senate AV infrastructure. I understand compliance requirements, risk tolerance, and the operational reality of serving agencies that cannot afford downtime. Before that, I spent 15 years engineering tours for U2, the Rolling Stones, Paul McCartney, and Beyoncé across 55+ countries — zero-tolerance-for-failure environments where 50,000 people show up expecting flawless execution. Government SaaS at your scale requires the same discipline.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I'm not a government software specialist — I'm a leadership specialist who has delivered outcomes in environments far more complex and unforgiving than most. My subject matter expertise IS building engineering organizations that scale: developing leaders, creating ownership culture, driving transformation without disruption. I've built frameworks like the Accountability Clarity Threshold (a 6-point diagnostic for eliminating ambiguity in large orgs) and embedded servant leadership principles that treat psychological safety as a performance multiplier, not a nice-to-have.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 bring three things to NEOGOV's table: proven ability to lead global engineering teams at scale, direct experience delivering for government clients under mission-critical constraints, and a documented approach to building cultures where engineers own outcomes and teams ship predictably. I'd welcome the chance to discuss how that translates to driving technical excellence across your platform.</w:t>
      </w:r>
    </w:p>
    <w:p>
      <w:pPr>
        <w:spacing w:after="80"/>
      </w:pPr>
    </w:p>
    <w:p>
      <w:pPr>
        <w:spacing w:after="40" w:before="200"/>
      </w:pPr>
      <w:r>
        <w:rPr>
          <w:rFonts w:ascii="Arial" w:cs="Arial" w:eastAsia="Arial" w:hAnsi="Arial"/>
          <w:sz w:val="22"/>
          <w:szCs w:val="22"/>
        </w:rPr>
        <w:t xml:space="preserve">Best regards,</w:t>
      </w:r>
    </w:p>
    <w:p>
      <w:pPr>
        <w:spacing w:after="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Wolf Schram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kho1i4wjjmywkxjf3fip" Type="http://schemas.openxmlformats.org/officeDocument/2006/relationships/hyperlink" Target="mailto:wolfbroadcast@gmail.com" TargetMode="External"/><Relationship Id="rIdxgkbfa9qrpj_l-wgnnn8r" Type="http://schemas.openxmlformats.org/officeDocument/2006/relationships/hyperlink" Target="https://www.linkedin.com/in/wolfgang-schram-a4837420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2026-03-07T00:23:42.462Z</dcterms:created>
  <dcterms:modified xsi:type="dcterms:W3CDTF">2026-03-07T00:23:42.462Z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