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elraster"/>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Pr>
                <w:rFonts w:cs="Arial"/>
              </w:rPr>
            </w:r>
            <w:r>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Pr>
                <w:rFonts w:cs="Arial"/>
              </w:rPr>
            </w:r>
            <w:r>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Pr>
                <w:rFonts w:cs="Arial"/>
              </w:rPr>
            </w:r>
            <w:r>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Pr>
                <w:rFonts w:cs="Arial"/>
              </w:rPr>
            </w:r>
            <w:r>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E04C06" w:rsidRDefault="002617CD" w:rsidP="00CE773D">
            <w:pPr>
              <w:rPr>
                <w:i/>
              </w:rPr>
            </w:pPr>
            <w:r>
              <w:rPr>
                <w:i/>
              </w:rPr>
              <w:t>Specifieke opdracht, context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elraster"/>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Pr>
                <w:rFonts w:cs="Arial"/>
              </w:rPr>
            </w:r>
            <w:r>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Pr>
                <w:rFonts w:cs="Arial"/>
              </w:rPr>
            </w:r>
            <w:r>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E04C06" w:rsidRDefault="002617CD" w:rsidP="00CE773D">
            <w:pPr>
              <w:rPr>
                <w:i/>
              </w:rPr>
            </w:pPr>
            <w:r>
              <w:rPr>
                <w:i/>
              </w:rPr>
              <w:t>Specifieke opdracht, context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bookmarkStart w:id="0" w:name="_GoBack"/>
      <w:bookmarkEnd w:id="0"/>
    </w:p>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46D" w:rsidRDefault="0001646D" w:rsidP="0001646D">
      <w:pPr>
        <w:spacing w:line="240" w:lineRule="auto"/>
      </w:pPr>
      <w:r>
        <w:separator/>
      </w:r>
    </w:p>
  </w:endnote>
  <w:endnote w:type="continuationSeparator" w:id="0">
    <w:p w:rsidR="0001646D" w:rsidRDefault="0001646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483073107"/>
      <w:docPartObj>
        <w:docPartGallery w:val="Page Numbers (Top of Page)"/>
        <w:docPartUnique/>
      </w:docPartObj>
    </w:sdtPr>
    <w:sdtEndPr/>
    <w:sdtContent>
      <w:p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46D" w:rsidRDefault="0001646D" w:rsidP="0001646D">
      <w:pPr>
        <w:spacing w:line="240" w:lineRule="auto"/>
      </w:pPr>
      <w:r>
        <w:separator/>
      </w:r>
    </w:p>
  </w:footnote>
  <w:footnote w:type="continuationSeparator" w:id="0">
    <w:p w:rsidR="0001646D" w:rsidRDefault="0001646D" w:rsidP="000164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07634"/>
    <w:rsid w:val="0001646D"/>
    <w:rsid w:val="00017569"/>
    <w:rsid w:val="00080B91"/>
    <w:rsid w:val="000E5A80"/>
    <w:rsid w:val="00155807"/>
    <w:rsid w:val="001F4602"/>
    <w:rsid w:val="002405C3"/>
    <w:rsid w:val="002617CD"/>
    <w:rsid w:val="0030159D"/>
    <w:rsid w:val="00382F7B"/>
    <w:rsid w:val="00535D79"/>
    <w:rsid w:val="0054245A"/>
    <w:rsid w:val="00612A93"/>
    <w:rsid w:val="006545BA"/>
    <w:rsid w:val="00762B6D"/>
    <w:rsid w:val="007A765A"/>
    <w:rsid w:val="00844F79"/>
    <w:rsid w:val="00AC3DB8"/>
    <w:rsid w:val="00B05038"/>
    <w:rsid w:val="00B1615F"/>
    <w:rsid w:val="00B16BE1"/>
    <w:rsid w:val="00C50E32"/>
    <w:rsid w:val="00CC2E68"/>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Props1.xml><?xml version="1.0" encoding="utf-8"?>
<ds:datastoreItem xmlns:ds="http://schemas.openxmlformats.org/officeDocument/2006/customXml" ds:itemID="{7409E65F-89BE-4CC5-AD86-C00AF27BEFC9}"/>
</file>

<file path=customXml/itemProps2.xml><?xml version="1.0" encoding="utf-8"?>
<ds:datastoreItem xmlns:ds="http://schemas.openxmlformats.org/officeDocument/2006/customXml" ds:itemID="{E2B38798-7CC5-4A47-A30A-AADB7211235F}"/>
</file>

<file path=customXml/itemProps3.xml><?xml version="1.0" encoding="utf-8"?>
<ds:datastoreItem xmlns:ds="http://schemas.openxmlformats.org/officeDocument/2006/customXml" ds:itemID="{46332B83-D44E-4300-97D5-EB53DE0E0E27}"/>
</file>

<file path=docProps/app.xml><?xml version="1.0" encoding="utf-8"?>
<Properties xmlns="http://schemas.openxmlformats.org/officeDocument/2006/extended-properties" xmlns:vt="http://schemas.openxmlformats.org/officeDocument/2006/docPropsVTypes">
  <Template>Normal.dotm</Template>
  <TotalTime>2</TotalTime>
  <Pages>3</Pages>
  <Words>374</Words>
  <Characters>2063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Merijn Halfers</cp:lastModifiedBy>
  <cp:revision>4</cp:revision>
  <dcterms:created xsi:type="dcterms:W3CDTF">2017-01-05T13:36:00Z</dcterms:created>
  <dcterms:modified xsi:type="dcterms:W3CDTF">2017-01-09T11:06:00Z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909800</vt:r8>
  </property>
  <property fmtid="{D5CDD505-2E9C-101B-9397-08002B2CF9AE}" pid="3" name="ContentTypeId">
    <vt:lpwstr>0x0101000C5151218AB56640BDBA68249A073511</vt:lpwstr>
  </property>
</Properties>
</file>