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55" w:rsidRPr="00C23515" w:rsidRDefault="00813F55" w:rsidP="00813F55">
      <w:pPr>
        <w:pStyle w:val="NormalWeb"/>
        <w:autoSpaceDE w:val="0"/>
        <w:autoSpaceDN w:val="0"/>
        <w:rPr>
          <w:lang w:val="es-CL"/>
        </w:rPr>
      </w:pPr>
      <w:r>
        <w:rPr>
          <w:color w:val="17365D"/>
          <w:lang w:val="es-CL"/>
        </w:rPr>
        <w:t>Estimado</w:t>
      </w:r>
      <w:r w:rsidRPr="00C23515">
        <w:rPr>
          <w:color w:val="17365D"/>
          <w:lang w:val="es-CL"/>
        </w:rPr>
        <w:t xml:space="preserve"> </w:t>
      </w:r>
      <w:r w:rsidRPr="00C23515">
        <w:rPr>
          <w:b/>
          <w:color w:val="17365D"/>
          <w:lang w:val="es-CL"/>
        </w:rPr>
        <w:t>XXX</w:t>
      </w:r>
      <w:r w:rsidRPr="00C23515">
        <w:rPr>
          <w:color w:val="17365D"/>
          <w:lang w:val="es-CL"/>
        </w:rPr>
        <w:t>:</w:t>
      </w:r>
    </w:p>
    <w:p w:rsidR="00813F55" w:rsidRPr="00C23515" w:rsidRDefault="00813F55" w:rsidP="00813F55">
      <w:pPr>
        <w:pStyle w:val="NormalWeb"/>
        <w:autoSpaceDE w:val="0"/>
        <w:autoSpaceDN w:val="0"/>
        <w:rPr>
          <w:color w:val="17365D"/>
          <w:lang w:val="es-CL"/>
        </w:rPr>
      </w:pPr>
      <w:r w:rsidRPr="00C23515">
        <w:rPr>
          <w:color w:val="17365D"/>
          <w:lang w:val="es-CL"/>
        </w:rPr>
        <w:t xml:space="preserve">Informo el  estado de la </w:t>
      </w:r>
      <w:r w:rsidRPr="00C23515">
        <w:rPr>
          <w:rStyle w:val="il"/>
          <w:color w:val="17365D"/>
          <w:lang w:val="es-CL"/>
        </w:rPr>
        <w:t>certificación</w:t>
      </w:r>
      <w:r>
        <w:rPr>
          <w:color w:val="17365D"/>
          <w:lang w:val="es-CL"/>
        </w:rPr>
        <w:t xml:space="preserve"> del </w:t>
      </w:r>
      <w:r w:rsidRPr="00C23515">
        <w:rPr>
          <w:color w:val="17365D"/>
          <w:lang w:val="es-CL"/>
        </w:rPr>
        <w:t xml:space="preserve">Aplicativo </w:t>
      </w:r>
      <w:r>
        <w:rPr>
          <w:color w:val="17365D"/>
          <w:lang w:val="es-CL"/>
        </w:rPr>
        <w:t xml:space="preserve">Revalora v. </w:t>
      </w:r>
      <w:r w:rsidRPr="00C23515">
        <w:rPr>
          <w:b/>
          <w:color w:val="17365D"/>
          <w:lang w:val="es-CL"/>
        </w:rPr>
        <w:t>YYY</w:t>
      </w:r>
      <w:r>
        <w:rPr>
          <w:color w:val="17365D"/>
          <w:lang w:val="es-CL"/>
        </w:rPr>
        <w:t xml:space="preserve"> reléase </w:t>
      </w:r>
      <w:r w:rsidRPr="00C23515">
        <w:rPr>
          <w:b/>
          <w:color w:val="17365D"/>
          <w:lang w:val="es-CL"/>
        </w:rPr>
        <w:t>ZZZ</w:t>
      </w:r>
      <w:r w:rsidRPr="00C23515">
        <w:rPr>
          <w:color w:val="17365D"/>
          <w:lang w:val="es-CL"/>
        </w:rPr>
        <w:t>, ciclo</w:t>
      </w:r>
      <w:r>
        <w:rPr>
          <w:color w:val="17365D"/>
          <w:lang w:val="es-CL"/>
        </w:rPr>
        <w:t xml:space="preserve"> de certificación </w:t>
      </w:r>
      <w:r w:rsidRPr="00C23515">
        <w:rPr>
          <w:b/>
          <w:color w:val="17365D"/>
          <w:lang w:val="es-CL"/>
        </w:rPr>
        <w:t>NN</w:t>
      </w:r>
      <w:r w:rsidRPr="00C23515">
        <w:rPr>
          <w:color w:val="17365D"/>
          <w:lang w:val="es-CL"/>
        </w:rPr>
        <w:t>:</w:t>
      </w:r>
    </w:p>
    <w:p w:rsidR="00813F55" w:rsidRPr="00C23515" w:rsidRDefault="00813F55" w:rsidP="00813F55">
      <w:pPr>
        <w:pStyle w:val="NormalWeb"/>
        <w:autoSpaceDE w:val="0"/>
        <w:autoSpaceDN w:val="0"/>
        <w:rPr>
          <w:lang w:val="es-CL"/>
        </w:rPr>
      </w:pPr>
      <w:r w:rsidRPr="00C23515">
        <w:rPr>
          <w:rFonts w:ascii="Arial" w:hAnsi="Arial" w:cs="Arial"/>
          <w:i/>
          <w:iCs/>
          <w:sz w:val="20"/>
          <w:szCs w:val="20"/>
          <w:lang w:val="es-CL"/>
        </w:rPr>
        <w:t> </w:t>
      </w:r>
      <w:r>
        <w:rPr>
          <w:rFonts w:ascii="Symbol" w:hAnsi="Symbol"/>
        </w:rPr>
        <w:t></w:t>
      </w:r>
      <w:r w:rsidRPr="00C23515">
        <w:rPr>
          <w:sz w:val="14"/>
          <w:szCs w:val="14"/>
          <w:lang w:val="es-CL"/>
        </w:rPr>
        <w:t xml:space="preserve">         </w:t>
      </w:r>
      <w:r w:rsidRPr="00C23515">
        <w:rPr>
          <w:b/>
          <w:bCs/>
          <w:i/>
          <w:iCs/>
          <w:u w:val="single"/>
          <w:lang w:val="es-CL"/>
        </w:rPr>
        <w:t xml:space="preserve">AVANCE DE LA </w:t>
      </w:r>
      <w:r w:rsidRPr="00C23515">
        <w:rPr>
          <w:rStyle w:val="il"/>
          <w:b/>
          <w:bCs/>
          <w:i/>
          <w:iCs/>
          <w:u w:val="single"/>
          <w:lang w:val="es-CL"/>
        </w:rPr>
        <w:t>CERTIFICACIÓN</w:t>
      </w:r>
    </w:p>
    <w:p w:rsidR="00813F55" w:rsidRPr="00C23515" w:rsidRDefault="00813F55" w:rsidP="00813F55">
      <w:pPr>
        <w:pStyle w:val="NormalWeb"/>
        <w:autoSpaceDE w:val="0"/>
        <w:autoSpaceDN w:val="0"/>
        <w:ind w:left="360"/>
        <w:rPr>
          <w:lang w:val="es-CL"/>
        </w:rPr>
      </w:pPr>
      <w:r w:rsidRPr="00C23515">
        <w:rPr>
          <w:i/>
          <w:iCs/>
          <w:color w:val="244061"/>
          <w:lang w:val="es-CL"/>
        </w:rPr>
        <w:t xml:space="preserve">Para </w:t>
      </w:r>
      <w:r>
        <w:rPr>
          <w:i/>
          <w:iCs/>
          <w:color w:val="244061"/>
          <w:lang w:val="es-CL"/>
        </w:rPr>
        <w:t xml:space="preserve">el módulo </w:t>
      </w:r>
      <w:r>
        <w:rPr>
          <w:b/>
          <w:bCs/>
          <w:i/>
          <w:iCs/>
          <w:color w:val="244061"/>
          <w:lang w:val="es-CL"/>
        </w:rPr>
        <w:t>HHH</w:t>
      </w:r>
      <w:r w:rsidRPr="00C23515">
        <w:rPr>
          <w:b/>
          <w:bCs/>
          <w:i/>
          <w:iCs/>
          <w:color w:val="244061"/>
          <w:lang w:val="es-CL"/>
        </w:rPr>
        <w:t xml:space="preserve"> </w:t>
      </w:r>
      <w:r w:rsidRPr="00C23515">
        <w:rPr>
          <w:i/>
          <w:iCs/>
          <w:color w:val="244061"/>
          <w:lang w:val="es-CL"/>
        </w:rPr>
        <w:t>la cobertura de la  funcionalidad específica (</w:t>
      </w:r>
      <w:r>
        <w:rPr>
          <w:iCs/>
          <w:color w:val="244061"/>
          <w:lang w:val="es-CL"/>
        </w:rPr>
        <w:t>Módulo persona y correo</w:t>
      </w:r>
      <w:r w:rsidRPr="00C23515">
        <w:rPr>
          <w:i/>
          <w:iCs/>
          <w:color w:val="244061"/>
          <w:lang w:val="es-CL"/>
        </w:rPr>
        <w:t xml:space="preserve">) es de un </w:t>
      </w:r>
      <w:r w:rsidRPr="00C23515">
        <w:rPr>
          <w:b/>
          <w:iCs/>
          <w:color w:val="1F497D"/>
          <w:lang w:val="es-CL"/>
        </w:rPr>
        <w:t>NN</w:t>
      </w:r>
      <w:r w:rsidRPr="00C23515">
        <w:rPr>
          <w:i/>
          <w:iCs/>
          <w:color w:val="244061"/>
          <w:lang w:val="es-CL"/>
        </w:rPr>
        <w:t>%. De regresión la</w:t>
      </w:r>
      <w:r w:rsidRPr="00C23515">
        <w:rPr>
          <w:i/>
          <w:iCs/>
          <w:color w:val="1F497D"/>
          <w:lang w:val="es-CL"/>
        </w:rPr>
        <w:t xml:space="preserve"> cobertura es de un </w:t>
      </w:r>
      <w:r w:rsidRPr="00C23515">
        <w:rPr>
          <w:b/>
          <w:iCs/>
          <w:color w:val="1F497D"/>
          <w:lang w:val="es-CL"/>
        </w:rPr>
        <w:t>NN</w:t>
      </w:r>
      <w:r w:rsidRPr="00C23515">
        <w:rPr>
          <w:i/>
          <w:iCs/>
          <w:color w:val="1F497D"/>
          <w:lang w:val="es-CL"/>
        </w:rPr>
        <w:t>%.</w:t>
      </w:r>
    </w:p>
    <w:p w:rsidR="00813F55" w:rsidRPr="00C23515" w:rsidRDefault="00813F55" w:rsidP="00813F55">
      <w:pPr>
        <w:pStyle w:val="NormalWeb"/>
        <w:autoSpaceDE w:val="0"/>
        <w:autoSpaceDN w:val="0"/>
        <w:rPr>
          <w:lang w:val="es-CL"/>
        </w:rPr>
      </w:pPr>
      <w:r w:rsidRPr="00C23515">
        <w:rPr>
          <w:rFonts w:ascii="Calibri" w:hAnsi="Calibri"/>
          <w:color w:val="1F497D"/>
          <w:sz w:val="22"/>
          <w:szCs w:val="22"/>
          <w:lang w:val="es-CL"/>
        </w:rPr>
        <w:t>               </w:t>
      </w:r>
      <w:r>
        <w:rPr>
          <w:noProof/>
        </w:rPr>
        <w:drawing>
          <wp:inline distT="0" distB="0" distL="0" distR="0" wp14:anchorId="4FE990FC" wp14:editId="096357E0">
            <wp:extent cx="4556760" cy="3215640"/>
            <wp:effectExtent l="0" t="0" r="15240" b="381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C23515">
        <w:rPr>
          <w:lang w:val="es-CL"/>
        </w:rPr>
        <w:t> </w:t>
      </w:r>
    </w:p>
    <w:p w:rsidR="00813F55" w:rsidRPr="00C23515" w:rsidRDefault="00813F55" w:rsidP="00813F55">
      <w:pPr>
        <w:pStyle w:val="NormalWeb"/>
        <w:autoSpaceDE w:val="0"/>
        <w:autoSpaceDN w:val="0"/>
        <w:ind w:left="720"/>
        <w:rPr>
          <w:lang w:val="es-CL"/>
        </w:rPr>
      </w:pPr>
      <w:r>
        <w:rPr>
          <w:rFonts w:ascii="Symbol" w:hAnsi="Symbol"/>
        </w:rPr>
        <w:t></w:t>
      </w:r>
      <w:r w:rsidRPr="00C23515">
        <w:rPr>
          <w:sz w:val="14"/>
          <w:szCs w:val="14"/>
          <w:lang w:val="es-CL"/>
        </w:rPr>
        <w:t xml:space="preserve">         </w:t>
      </w:r>
      <w:r w:rsidRPr="00C23515">
        <w:rPr>
          <w:b/>
          <w:bCs/>
          <w:i/>
          <w:iCs/>
          <w:u w:val="single"/>
          <w:lang w:val="es-CL"/>
        </w:rPr>
        <w:t>ESTADO Y CRITICIDAD DE LOS HALLAZGOS</w:t>
      </w:r>
    </w:p>
    <w:p w:rsidR="00813F55" w:rsidRPr="00C23515" w:rsidRDefault="00813F55" w:rsidP="00813F55">
      <w:pPr>
        <w:pStyle w:val="NormalWeb"/>
        <w:autoSpaceDE w:val="0"/>
        <w:autoSpaceDN w:val="0"/>
        <w:ind w:left="360"/>
        <w:rPr>
          <w:lang w:val="es-CL"/>
        </w:rPr>
      </w:pPr>
      <w:r w:rsidRPr="00C23515">
        <w:rPr>
          <w:i/>
          <w:iCs/>
          <w:color w:val="17365D"/>
          <w:lang w:val="es-CL"/>
        </w:rPr>
        <w:t xml:space="preserve">Se han encontrado </w:t>
      </w:r>
      <w:r w:rsidRPr="00C23515">
        <w:rPr>
          <w:b/>
          <w:i/>
          <w:iCs/>
          <w:color w:val="17365D"/>
          <w:lang w:val="es-CL"/>
        </w:rPr>
        <w:t>NN</w:t>
      </w:r>
      <w:r>
        <w:rPr>
          <w:i/>
          <w:iCs/>
          <w:color w:val="17365D"/>
          <w:lang w:val="es-CL"/>
        </w:rPr>
        <w:t xml:space="preserve"> </w:t>
      </w:r>
      <w:r w:rsidRPr="00C23515">
        <w:rPr>
          <w:i/>
          <w:iCs/>
          <w:color w:val="17365D"/>
          <w:lang w:val="es-CL"/>
        </w:rPr>
        <w:t xml:space="preserve">hallazgos durante la </w:t>
      </w:r>
      <w:r w:rsidRPr="00C23515">
        <w:rPr>
          <w:rStyle w:val="il"/>
          <w:i/>
          <w:iCs/>
          <w:color w:val="17365D"/>
          <w:lang w:val="es-CL"/>
        </w:rPr>
        <w:t>certificación</w:t>
      </w:r>
      <w:r w:rsidRPr="00C23515">
        <w:rPr>
          <w:i/>
          <w:iCs/>
          <w:color w:val="17365D"/>
          <w:lang w:val="es-CL"/>
        </w:rPr>
        <w:t xml:space="preserve"> a la fecha. </w:t>
      </w:r>
    </w:p>
    <w:p w:rsidR="00813F55" w:rsidRPr="00813F55" w:rsidRDefault="00813F55" w:rsidP="00813F55">
      <w:pPr>
        <w:pStyle w:val="NormalWeb"/>
        <w:autoSpaceDE w:val="0"/>
        <w:autoSpaceDN w:val="0"/>
        <w:spacing w:after="240" w:afterAutospacing="0"/>
        <w:jc w:val="center"/>
        <w:rPr>
          <w:lang w:val="es-CL"/>
        </w:rPr>
      </w:pPr>
    </w:p>
    <w:p w:rsidR="00813F55" w:rsidRPr="00C23515" w:rsidRDefault="00813F55" w:rsidP="00813F55">
      <w:pPr>
        <w:pStyle w:val="NormalWeb"/>
        <w:autoSpaceDE w:val="0"/>
        <w:autoSpaceDN w:val="0"/>
        <w:spacing w:after="240" w:afterAutospacing="0"/>
        <w:rPr>
          <w:lang w:val="es-CL"/>
        </w:rPr>
      </w:pPr>
      <w:r w:rsidRPr="00C23515">
        <w:rPr>
          <w:i/>
          <w:iCs/>
          <w:color w:val="17365D"/>
          <w:lang w:val="es-CL"/>
        </w:rPr>
        <w:t xml:space="preserve">De los  hallazgos encontrados </w:t>
      </w:r>
      <w:r w:rsidRPr="00802C3D">
        <w:rPr>
          <w:b/>
          <w:i/>
          <w:iCs/>
          <w:color w:val="17365D"/>
          <w:lang w:val="es-CL"/>
        </w:rPr>
        <w:t>NN</w:t>
      </w:r>
      <w:r w:rsidRPr="00C23515">
        <w:rPr>
          <w:i/>
          <w:iCs/>
          <w:color w:val="17365D"/>
          <w:lang w:val="es-CL"/>
        </w:rPr>
        <w:t xml:space="preserve"> tienen criticidad Invalidante y </w:t>
      </w:r>
      <w:r w:rsidRPr="00802C3D">
        <w:rPr>
          <w:b/>
          <w:i/>
          <w:iCs/>
          <w:color w:val="1F497D"/>
          <w:lang w:val="es-CL"/>
        </w:rPr>
        <w:t>NN</w:t>
      </w:r>
      <w:r>
        <w:rPr>
          <w:i/>
          <w:iCs/>
          <w:color w:val="1F497D"/>
          <w:lang w:val="es-CL"/>
        </w:rPr>
        <w:t xml:space="preserve"> </w:t>
      </w:r>
      <w:r w:rsidRPr="00C23515">
        <w:rPr>
          <w:i/>
          <w:iCs/>
          <w:color w:val="17365D"/>
          <w:lang w:val="es-CL"/>
        </w:rPr>
        <w:t xml:space="preserve"> de Alta. </w:t>
      </w:r>
    </w:p>
    <w:p w:rsidR="00813F55" w:rsidRPr="00C23515" w:rsidRDefault="00813F55" w:rsidP="00813F55">
      <w:pPr>
        <w:pStyle w:val="NormalWeb"/>
        <w:autoSpaceDE w:val="0"/>
        <w:autoSpaceDN w:val="0"/>
        <w:spacing w:after="240" w:afterAutospacing="0"/>
        <w:rPr>
          <w:lang w:val="es-CL"/>
        </w:rPr>
      </w:pPr>
      <w:r>
        <w:rPr>
          <w:i/>
          <w:iCs/>
          <w:color w:val="17365D"/>
          <w:lang w:val="es-ES"/>
        </w:rPr>
        <w:t>Al día de hoy el estado de los incidentes es:</w:t>
      </w:r>
    </w:p>
    <w:p w:rsidR="00813F55" w:rsidRDefault="00813F55" w:rsidP="00813F55">
      <w:pPr>
        <w:pStyle w:val="NormalWeb"/>
        <w:autoSpaceDE w:val="0"/>
        <w:autoSpaceDN w:val="0"/>
        <w:spacing w:after="240" w:afterAutospacing="0"/>
        <w:jc w:val="center"/>
      </w:pPr>
      <w:r>
        <w:rPr>
          <w:noProof/>
        </w:rPr>
        <w:lastRenderedPageBreak/>
        <w:drawing>
          <wp:inline distT="0" distB="0" distL="0" distR="0" wp14:anchorId="202AE1DC" wp14:editId="0D49C6CC">
            <wp:extent cx="3962400" cy="2811780"/>
            <wp:effectExtent l="0" t="0" r="0" b="762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13F55" w:rsidRPr="00C23515" w:rsidRDefault="00813F55" w:rsidP="00813F55">
      <w:pPr>
        <w:pStyle w:val="NormalWeb"/>
        <w:autoSpaceDE w:val="0"/>
        <w:autoSpaceDN w:val="0"/>
        <w:spacing w:after="240" w:afterAutospacing="0"/>
        <w:rPr>
          <w:lang w:val="es-CL"/>
        </w:rPr>
      </w:pPr>
      <w:r>
        <w:rPr>
          <w:i/>
          <w:iCs/>
          <w:color w:val="17365D"/>
          <w:lang w:val="es-CL"/>
        </w:rPr>
        <w:t xml:space="preserve">La ruta actualizada de </w:t>
      </w:r>
      <w:proofErr w:type="spellStart"/>
      <w:r>
        <w:rPr>
          <w:i/>
          <w:iCs/>
          <w:color w:val="17365D"/>
          <w:lang w:val="es-CL"/>
        </w:rPr>
        <w:t>dropbox</w:t>
      </w:r>
      <w:proofErr w:type="spellEnd"/>
      <w:r>
        <w:rPr>
          <w:i/>
          <w:iCs/>
          <w:color w:val="17365D"/>
          <w:lang w:val="es-CL"/>
        </w:rPr>
        <w:t xml:space="preserve"> </w:t>
      </w:r>
      <w:r w:rsidRPr="00C23515">
        <w:rPr>
          <w:i/>
          <w:iCs/>
          <w:color w:val="17365D"/>
          <w:lang w:val="es-CL"/>
        </w:rPr>
        <w:t>es la siguiente:</w:t>
      </w:r>
    </w:p>
    <w:p w:rsidR="00813F55" w:rsidRPr="00C23515" w:rsidRDefault="00813F55" w:rsidP="00813F55">
      <w:pPr>
        <w:pStyle w:val="NormalWeb"/>
        <w:autoSpaceDE w:val="0"/>
        <w:autoSpaceDN w:val="0"/>
        <w:ind w:left="720"/>
        <w:rPr>
          <w:lang w:val="es-CL"/>
        </w:rPr>
      </w:pPr>
      <w:r>
        <w:rPr>
          <w:rFonts w:ascii="Symbol" w:hAnsi="Symbol"/>
        </w:rPr>
        <w:t></w:t>
      </w:r>
      <w:r w:rsidRPr="00C23515">
        <w:rPr>
          <w:sz w:val="14"/>
          <w:szCs w:val="14"/>
          <w:lang w:val="es-CL"/>
        </w:rPr>
        <w:t xml:space="preserve">         </w:t>
      </w:r>
      <w:r w:rsidRPr="00802C3D">
        <w:rPr>
          <w:sz w:val="36"/>
          <w:szCs w:val="36"/>
          <w:lang w:val="es-CL"/>
        </w:rPr>
        <w:t xml:space="preserve">Ruta de </w:t>
      </w:r>
      <w:proofErr w:type="spellStart"/>
      <w:r w:rsidRPr="00802C3D">
        <w:rPr>
          <w:sz w:val="36"/>
          <w:szCs w:val="36"/>
          <w:lang w:val="es-CL"/>
        </w:rPr>
        <w:t>Dropbox</w:t>
      </w:r>
      <w:proofErr w:type="spellEnd"/>
    </w:p>
    <w:p w:rsidR="00813F55" w:rsidRPr="00C23515" w:rsidRDefault="00813F55" w:rsidP="00813F55">
      <w:pPr>
        <w:pStyle w:val="NormalWeb"/>
        <w:autoSpaceDE w:val="0"/>
        <w:autoSpaceDN w:val="0"/>
        <w:ind w:left="720"/>
        <w:rPr>
          <w:lang w:val="es-CL"/>
        </w:rPr>
      </w:pPr>
      <w:r w:rsidRPr="00C23515">
        <w:rPr>
          <w:b/>
          <w:bCs/>
          <w:i/>
          <w:iCs/>
          <w:lang w:val="es-CL"/>
        </w:rPr>
        <w:t> </w:t>
      </w:r>
    </w:p>
    <w:p w:rsidR="00813F55" w:rsidRPr="00C23515" w:rsidRDefault="00813F55" w:rsidP="00813F55">
      <w:pPr>
        <w:pStyle w:val="NormalWeb"/>
        <w:autoSpaceDE w:val="0"/>
        <w:autoSpaceDN w:val="0"/>
        <w:ind w:left="720"/>
        <w:rPr>
          <w:lang w:val="es-CL"/>
        </w:rPr>
      </w:pPr>
      <w:r>
        <w:rPr>
          <w:rFonts w:ascii="Symbol" w:hAnsi="Symbol"/>
        </w:rPr>
        <w:t></w:t>
      </w:r>
      <w:r w:rsidRPr="00C23515">
        <w:rPr>
          <w:sz w:val="14"/>
          <w:szCs w:val="14"/>
          <w:lang w:val="es-CL"/>
        </w:rPr>
        <w:t xml:space="preserve">         </w:t>
      </w:r>
      <w:r w:rsidRPr="00C23515">
        <w:rPr>
          <w:b/>
          <w:bCs/>
          <w:i/>
          <w:iCs/>
          <w:u w:val="single"/>
          <w:lang w:val="es-CL"/>
        </w:rPr>
        <w:t xml:space="preserve">Siguientes pasos: </w:t>
      </w:r>
    </w:p>
    <w:p w:rsidR="00813F55" w:rsidRPr="00C23515" w:rsidRDefault="00813F55" w:rsidP="00813F55">
      <w:pPr>
        <w:pStyle w:val="NormalWeb"/>
        <w:autoSpaceDE w:val="0"/>
        <w:autoSpaceDN w:val="0"/>
        <w:ind w:left="360"/>
        <w:rPr>
          <w:lang w:val="es-CL"/>
        </w:rPr>
      </w:pPr>
      <w:r w:rsidRPr="00C23515">
        <w:rPr>
          <w:i/>
          <w:iCs/>
          <w:color w:val="244061"/>
          <w:lang w:val="es-CL"/>
        </w:rPr>
        <w:t xml:space="preserve">-Realizar </w:t>
      </w:r>
      <w:r>
        <w:rPr>
          <w:i/>
          <w:iCs/>
          <w:color w:val="244061"/>
          <w:lang w:val="es-CL"/>
        </w:rPr>
        <w:t>integración.</w:t>
      </w:r>
    </w:p>
    <w:p w:rsidR="00813F55" w:rsidRPr="00C23515" w:rsidRDefault="00813F55" w:rsidP="00813F55">
      <w:pPr>
        <w:pStyle w:val="NormalWeb"/>
        <w:autoSpaceDE w:val="0"/>
        <w:autoSpaceDN w:val="0"/>
        <w:rPr>
          <w:lang w:val="es-CL"/>
        </w:rPr>
      </w:pPr>
      <w:r w:rsidRPr="00C23515">
        <w:rPr>
          <w:i/>
          <w:iCs/>
          <w:color w:val="244061"/>
          <w:lang w:val="es-CL"/>
        </w:rPr>
        <w:t>Saludos cordiales,</w:t>
      </w:r>
    </w:p>
    <w:p w:rsidR="000A3AD6" w:rsidRDefault="00813F55">
      <w:bookmarkStart w:id="0" w:name="_GoBack"/>
      <w:bookmarkEnd w:id="0"/>
    </w:p>
    <w:sectPr w:rsidR="000A3A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55"/>
    <w:rsid w:val="00813F55"/>
    <w:rsid w:val="00D14F16"/>
    <w:rsid w:val="00DD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BF2670-FDA3-42B6-9F28-E61BCE51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Fuentedeprrafopredeter"/>
    <w:rsid w:val="00813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gnacio\Downloads\A_80_Informe_de_Hallazgos1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gnacio\Downloads\A_80_Informe_de_Hallazgos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US"/>
              <a:t>Cantidad de hallazgos por criticidad- General</a:t>
            </a:r>
          </a:p>
        </c:rich>
      </c:tx>
      <c:layout>
        <c:manualLayout>
          <c:xMode val="edge"/>
          <c:yMode val="edge"/>
          <c:x val="0.22657590042047418"/>
          <c:y val="3.323257578584668E-2"/>
        </c:manualLayout>
      </c:layout>
      <c:overlay val="0"/>
      <c:spPr>
        <a:noFill/>
        <a:ln w="25400">
          <a:noFill/>
        </a:ln>
      </c:spPr>
    </c:title>
    <c:autoTitleDeleted val="0"/>
    <c:view3D>
      <c:rotX val="38"/>
      <c:hPercent val="70"/>
      <c:rotY val="44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gradFill rotWithShape="0">
          <a:gsLst>
            <a:gs pos="0">
              <a:srgbClr val="99CCFF"/>
            </a:gs>
            <a:gs pos="100000">
              <a:srgbClr val="99CCFF">
                <a:gamma/>
                <a:shade val="46275"/>
                <a:invGamma/>
              </a:srgbClr>
            </a:gs>
          </a:gsLst>
          <a:lin ang="5400000" scaled="1"/>
        </a:gradFill>
        <a:ln w="12700">
          <a:solidFill>
            <a:srgbClr val="808080"/>
          </a:solidFill>
          <a:prstDash val="solid"/>
        </a:ln>
      </c:spPr>
    </c:sideWall>
    <c:backWall>
      <c:thickness val="0"/>
      <c:spPr>
        <a:gradFill rotWithShape="0">
          <a:gsLst>
            <a:gs pos="0">
              <a:schemeClr val="bg1">
                <a:lumMod val="85000"/>
              </a:schemeClr>
            </a:gs>
            <a:gs pos="100000">
              <a:prstClr val="white">
                <a:lumMod val="75000"/>
              </a:prstClr>
            </a:gs>
          </a:gsLst>
          <a:lin ang="5400000" scaled="1"/>
        </a:gra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4.9550644879067539E-2"/>
          <c:y val="0.12487443601271896"/>
          <c:w val="0.79847802895605791"/>
          <c:h val="0.70694968335430541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Resumen!$C$3</c:f>
              <c:strCache>
                <c:ptCount val="1"/>
                <c:pt idx="0">
                  <c:v>Invalidante</c:v>
                </c:pt>
              </c:strCache>
            </c:strRef>
          </c:tx>
          <c:spPr>
            <a:solidFill>
              <a:srgbClr val="FF0000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dPt>
            <c:idx val="0"/>
            <c:invertIfNegative val="0"/>
            <c:bubble3D val="0"/>
          </c:dPt>
          <c:dPt>
            <c:idx val="1"/>
            <c:invertIfNegative val="0"/>
            <c:bubble3D val="0"/>
          </c:dPt>
          <c:dPt>
            <c:idx val="2"/>
            <c:invertIfNegative val="0"/>
            <c:bubble3D val="0"/>
          </c:dPt>
          <c:dPt>
            <c:idx val="3"/>
            <c:invertIfNegative val="0"/>
            <c:bubble3D val="0"/>
          </c:dPt>
          <c:dLbls>
            <c:dLbl>
              <c:idx val="0"/>
              <c:layout>
                <c:manualLayout>
                  <c:x val="2.6284045229460632E-17"/>
                  <c:y val="8.0563947633434038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925" b="1" i="0" u="none" strike="noStrike" baseline="0">
                      <a:solidFill>
                        <a:srgbClr val="FFFFFF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5.7347670250896057E-3"/>
                  <c:y val="7.2507552870090641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925" b="1" i="0" u="none" strike="noStrike" baseline="0">
                      <a:solidFill>
                        <a:srgbClr val="FFFFFF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"/>
                  <c:y val="8.4592145015105744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925" b="1" i="0" u="none" strike="noStrike" baseline="0">
                      <a:solidFill>
                        <a:srgbClr val="FFFFFF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"/>
                  <c:y val="6.4451158106747231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925" b="1" i="0" u="none" strike="noStrike" baseline="0">
                      <a:solidFill>
                        <a:srgbClr val="FFFFFF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25" b="1" i="0" u="none" strike="noStrike" baseline="0">
                    <a:solidFill>
                      <a:srgbClr val="FFFFFF"/>
                    </a:solidFill>
                    <a:latin typeface="Arial"/>
                    <a:ea typeface="Arial"/>
                    <a:cs typeface="Arial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Resumen!$C$4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Resumen!$D$3</c:f>
              <c:strCache>
                <c:ptCount val="1"/>
                <c:pt idx="0">
                  <c:v>Alta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val>
            <c:numRef>
              <c:f>Resumen!$D$4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2"/>
          <c:order val="2"/>
          <c:tx>
            <c:strRef>
              <c:f>Resumen!$E$3</c:f>
              <c:strCache>
                <c:ptCount val="1"/>
                <c:pt idx="0">
                  <c:v>Media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val>
            <c:numRef>
              <c:f>Resumen!$E$4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3"/>
          <c:order val="3"/>
          <c:tx>
            <c:strRef>
              <c:f>Resumen!$F$3</c:f>
              <c:strCache>
                <c:ptCount val="1"/>
                <c:pt idx="0">
                  <c:v>Baja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val>
            <c:numRef>
              <c:f>Resumen!$F$4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91957624"/>
        <c:axId val="491967032"/>
        <c:axId val="0"/>
      </c:bar3DChart>
      <c:catAx>
        <c:axId val="491957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Criticidad</a:t>
                </a:r>
              </a:p>
            </c:rich>
          </c:tx>
          <c:layout>
            <c:manualLayout>
              <c:xMode val="edge"/>
              <c:yMode val="edge"/>
              <c:x val="0.41318370947778682"/>
              <c:y val="0.9085174335435558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9196703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91967032"/>
        <c:scaling>
          <c:orientation val="minMax"/>
          <c:max val="1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 rot="0" vert="horz"/>
              <a:lstStyle/>
              <a:p>
                <a:pPr algn="ctr"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Nº</a:t>
                </a:r>
              </a:p>
            </c:rich>
          </c:tx>
          <c:layout>
            <c:manualLayout>
              <c:xMode val="edge"/>
              <c:yMode val="edge"/>
              <c:x val="2.2076212045400678E-2"/>
              <c:y val="0.5236593648542747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91957624"/>
        <c:crosses val="autoZero"/>
        <c:crossBetween val="between"/>
        <c:majorUnit val="1"/>
        <c:minorUnit val="1"/>
      </c:valAx>
      <c:spPr>
        <a:noFill/>
        <a:ln w="25400">
          <a:noFill/>
        </a:ln>
      </c:spPr>
    </c:plotArea>
    <c:legend>
      <c:legendPos val="r"/>
      <c:overlay val="0"/>
      <c:txPr>
        <a:bodyPr/>
        <a:lstStyle/>
        <a:p>
          <a:pPr>
            <a:defRPr sz="67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gradFill rotWithShape="0">
      <a:gsLst>
        <a:gs pos="0">
          <a:sysClr val="window" lastClr="FFFFFF">
            <a:lumMod val="65000"/>
          </a:sysClr>
        </a:gs>
        <a:gs pos="50000">
          <a:schemeClr val="bg1">
            <a:lumMod val="85000"/>
          </a:schemeClr>
        </a:gs>
        <a:gs pos="100000">
          <a:sysClr val="window" lastClr="FFFFFF">
            <a:lumMod val="65000"/>
          </a:sysClr>
        </a:gs>
      </a:gsLst>
      <a:lin ang="5400000" scaled="0"/>
    </a:gradFill>
    <a:ln w="3175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Estado de los Hallazgos-General</a:t>
            </a:r>
          </a:p>
        </c:rich>
      </c:tx>
      <c:layout>
        <c:manualLayout>
          <c:xMode val="edge"/>
          <c:yMode val="edge"/>
          <c:x val="0.25527483343428226"/>
          <c:y val="3.3333333333333333E-2"/>
        </c:manualLayout>
      </c:layout>
      <c:overlay val="0"/>
      <c:spPr>
        <a:noFill/>
        <a:ln w="25400">
          <a:noFill/>
        </a:ln>
      </c:spPr>
    </c:title>
    <c:autoTitleDeleted val="0"/>
    <c:view3D>
      <c:rotX val="15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4683595158382693"/>
          <c:y val="0.4030314957134698"/>
          <c:w val="0.48945248519186196"/>
          <c:h val="0.27878870380179865"/>
        </c:manualLayout>
      </c:layout>
      <c:pie3DChart>
        <c:varyColors val="1"/>
        <c:ser>
          <c:idx val="0"/>
          <c:order val="0"/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dPt>
            <c:idx val="0"/>
            <c:bubble3D val="0"/>
            <c:spPr>
              <a:gradFill rotWithShape="0">
                <a:gsLst>
                  <a:gs pos="0">
                    <a:srgbClr val="99CC00"/>
                  </a:gs>
                  <a:gs pos="100000">
                    <a:srgbClr val="99CC00">
                      <a:gamma/>
                      <a:shade val="46275"/>
                      <a:invGamma/>
                    </a:srgbClr>
                  </a:gs>
                </a:gsLst>
                <a:lin ang="5400000" scaled="1"/>
              </a:gra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1"/>
            <c:bubble3D val="0"/>
            <c:spPr>
              <a:gradFill rotWithShape="0">
                <a:gsLst>
                  <a:gs pos="0">
                    <a:srgbClr val="DD0806"/>
                  </a:gs>
                  <a:gs pos="100000">
                    <a:srgbClr val="DD0806">
                      <a:gamma/>
                      <a:tint val="63922"/>
                      <a:invGamma/>
                    </a:srgbClr>
                  </a:gs>
                </a:gsLst>
                <a:lin ang="5400000" scaled="1"/>
              </a:gra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2"/>
            <c:bubble3D val="0"/>
            <c:spPr>
              <a:solidFill>
                <a:srgbClr val="1FB714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3"/>
            <c:bubble3D val="0"/>
            <c:spPr>
              <a:gradFill rotWithShape="0">
                <a:gsLst>
                  <a:gs pos="0">
                    <a:srgbClr val="FFCC00"/>
                  </a:gs>
                  <a:gs pos="100000">
                    <a:srgbClr val="FFCC00">
                      <a:gamma/>
                      <a:shade val="46275"/>
                      <a:invGamma/>
                    </a:srgbClr>
                  </a:gs>
                </a:gsLst>
                <a:lin ang="5400000" scaled="1"/>
              </a:gra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4"/>
            <c:bubble3D val="0"/>
            <c:spPr>
              <a:gradFill rotWithShape="0">
                <a:gsLst>
                  <a:gs pos="0">
                    <a:srgbClr val="333333"/>
                  </a:gs>
                  <a:gs pos="100000">
                    <a:srgbClr val="333333">
                      <a:gamma/>
                      <a:tint val="53333"/>
                      <a:invGamma/>
                    </a:srgbClr>
                  </a:gs>
                </a:gsLst>
                <a:lin ang="5400000" scaled="1"/>
              </a:gra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5"/>
            <c:bubble3D val="0"/>
            <c:spPr>
              <a:solidFill>
                <a:srgbClr val="00CCFF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6"/>
            <c:bubble3D val="0"/>
            <c:spPr>
              <a:gradFill rotWithShape="0">
                <a:gsLst>
                  <a:gs pos="0">
                    <a:srgbClr val="333399"/>
                  </a:gs>
                  <a:gs pos="100000">
                    <a:srgbClr val="333399">
                      <a:gamma/>
                      <a:tint val="63529"/>
                      <a:invGamma/>
                    </a:srgbClr>
                  </a:gs>
                </a:gsLst>
                <a:lin ang="5400000" scaled="1"/>
              </a:gra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7"/>
            <c:bubble3D val="0"/>
            <c:spPr>
              <a:gradFill rotWithShape="0">
                <a:gsLst>
                  <a:gs pos="0">
                    <a:srgbClr val="CC99FF"/>
                  </a:gs>
                  <a:gs pos="100000">
                    <a:srgbClr val="CC99FF">
                      <a:gamma/>
                      <a:shade val="46275"/>
                      <a:invGamma/>
                    </a:srgbClr>
                  </a:gs>
                </a:gsLst>
                <a:lin ang="5400000" scaled="1"/>
              </a:gra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8"/>
            <c:bubble3D val="0"/>
            <c:spPr>
              <a:gradFill rotWithShape="0">
                <a:gsLst>
                  <a:gs pos="0">
                    <a:srgbClr val="CCFFFF"/>
                  </a:gs>
                  <a:gs pos="100000">
                    <a:srgbClr val="CCFFFF">
                      <a:gamma/>
                      <a:shade val="66275"/>
                      <a:invGamma/>
                    </a:srgbClr>
                  </a:gs>
                </a:gsLst>
                <a:lin ang="5400000" scaled="1"/>
              </a:gradFill>
              <a:ln w="12700">
                <a:solidFill>
                  <a:srgbClr val="000000"/>
                </a:solidFill>
                <a:prstDash val="solid"/>
              </a:ln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8.1723645303830694E-2"/>
                  <c:y val="-0.10332585699514833"/>
                </c:manualLayout>
              </c:layout>
              <c:spPr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5.3257583308415561E-2"/>
                  <c:y val="-3.5155650998170647E-2"/>
                </c:manualLayout>
              </c:layout>
              <c:spPr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4.5689225555667337E-3"/>
                  <c:y val="0.11466666666666667"/>
                </c:manualLayout>
              </c:layout>
              <c:spPr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2.4353926912982029E-3"/>
                  <c:y val="5.4030542930101219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1.5731879668887543E-2"/>
                  <c:y val="-9.8091244691974486E-2"/>
                </c:manualLayout>
              </c:layout>
              <c:spPr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Resumen!$C$7:$K$7</c:f>
              <c:strCache>
                <c:ptCount val="9"/>
                <c:pt idx="0">
                  <c:v>Hallado</c:v>
                </c:pt>
                <c:pt idx="1">
                  <c:v>Pendiente</c:v>
                </c:pt>
                <c:pt idx="2">
                  <c:v>Corregido</c:v>
                </c:pt>
                <c:pt idx="3">
                  <c:v>No pudo reproducir</c:v>
                </c:pt>
                <c:pt idx="4">
                  <c:v>Suspendido</c:v>
                </c:pt>
                <c:pt idx="5">
                  <c:v>No aplica desarrollo</c:v>
                </c:pt>
                <c:pt idx="6">
                  <c:v>No aplica definitivo</c:v>
                </c:pt>
                <c:pt idx="7">
                  <c:v>No verificable</c:v>
                </c:pt>
                <c:pt idx="8">
                  <c:v>cerrado</c:v>
                </c:pt>
              </c:strCache>
            </c:strRef>
          </c:cat>
          <c:val>
            <c:numRef>
              <c:f>Resumen!$C$8:$K$8</c:f>
              <c:numCache>
                <c:formatCode>General</c:formatCode>
                <c:ptCount val="9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400">
          <a:noFill/>
        </a:ln>
      </c:spPr>
    </c:plotArea>
    <c:plotVisOnly val="1"/>
    <c:dispBlanksAs val="zero"/>
    <c:showDLblsOverMax val="0"/>
  </c:chart>
  <c:spPr>
    <a:gradFill rotWithShape="0">
      <a:gsLst>
        <a:gs pos="0">
          <a:srgbClr val="FFFFFF"/>
        </a:gs>
        <a:gs pos="100000">
          <a:srgbClr val="FFFFFF">
            <a:gamma/>
            <a:shade val="76078"/>
            <a:invGamma/>
          </a:srgbClr>
        </a:gs>
      </a:gsLst>
      <a:lin ang="5400000" scaled="1"/>
    </a:gradFill>
    <a:ln w="3175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Peña</dc:creator>
  <cp:keywords/>
  <dc:description/>
  <cp:lastModifiedBy>Ignacio Peña</cp:lastModifiedBy>
  <cp:revision>1</cp:revision>
  <dcterms:created xsi:type="dcterms:W3CDTF">2014-06-08T02:05:00Z</dcterms:created>
  <dcterms:modified xsi:type="dcterms:W3CDTF">2014-06-08T02:06:00Z</dcterms:modified>
</cp:coreProperties>
</file>