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Georgia" w:cs="Georgia" w:eastAsia="Georgia" w:hAnsi="Georgia"/>
          <w:b/>
          <w:bCs/>
          <w:color w:val="1A1A18"/>
          <w:spacing w:val="20"/>
          <w:sz w:val="56"/>
          <w:szCs w:val="56"/>
        </w:rPr>
        <w:t xml:space="preserve">ADAM WOLLINS</w:t>
      </w:r>
    </w:p>
    <w:p>
      <w:pPr>
        <w:pBdr>
          <w:bottom w:val="single" w:color="D8D7D2" w:sz="4" w:space="2"/>
        </w:pBdr>
        <w:spacing w:after="60" w:before="0"/>
      </w:pPr>
      <w:r>
        <w:rPr>
          <w:rFonts w:ascii="Georgia" w:cs="Georgia" w:eastAsia="Georgia" w:hAnsi="Georgia"/>
          <w:i/>
          <w:iCs/>
          <w:color w:val="C96442"/>
          <w:sz w:val="26"/>
          <w:szCs w:val="26"/>
        </w:rPr>
        <w:t xml:space="preserve">Technology Executive &amp; ICT Strategy Leader</w:t>
      </w:r>
    </w:p>
    <w:p>
      <w:pPr>
        <w:spacing w:after="60" w:before="0"/>
      </w:pPr>
    </w:p>
    <w:p>
      <w:pPr>
        <w:spacing w:after="120" w:before="0"/>
      </w:pPr>
      <w:r>
        <w:rPr>
          <w:rFonts w:ascii="Calibri" w:cs="Calibri" w:eastAsia="Calibri" w:hAnsi="Calibri"/>
          <w:color w:val="96958F"/>
          <w:sz w:val="19"/>
          <w:szCs w:val="19"/>
        </w:rPr>
        <w:t xml:space="preserve">adamwollins@me.com</w:t>
      </w:r>
      <w:r>
        <w:rPr>
          <w:rFonts w:ascii="Calibri" w:cs="Calibri" w:eastAsia="Calibri" w:hAnsi="Calibri"/>
          <w:color w:val="D8D7D2"/>
          <w:sz w:val="19"/>
          <w:szCs w:val="19"/>
        </w:rPr>
        <w:t xml:space="preserve">   ·   </w:t>
      </w:r>
      <w:r>
        <w:rPr>
          <w:rFonts w:ascii="Calibri" w:cs="Calibri" w:eastAsia="Calibri" w:hAnsi="Calibri"/>
          <w:color w:val="96958F"/>
          <w:sz w:val="19"/>
          <w:szCs w:val="19"/>
        </w:rPr>
        <w:t xml:space="preserve">0400 842 314</w:t>
      </w:r>
      <w:r>
        <w:rPr>
          <w:rFonts w:ascii="Calibri" w:cs="Calibri" w:eastAsia="Calibri" w:hAnsi="Calibri"/>
          <w:color w:val="D8D7D2"/>
          <w:sz w:val="19"/>
          <w:szCs w:val="19"/>
        </w:rPr>
        <w:t xml:space="preserve">   ·   </w:t>
      </w:r>
      <w:r>
        <w:rPr>
          <w:rFonts w:ascii="Calibri" w:cs="Calibri" w:eastAsia="Calibri" w:hAnsi="Calibri"/>
          <w:color w:val="96958F"/>
          <w:sz w:val="19"/>
          <w:szCs w:val="19"/>
        </w:rPr>
        <w:t xml:space="preserve">linkedin.com/in/adamwollins</w:t>
      </w:r>
      <w:r>
        <w:rPr>
          <w:rFonts w:ascii="Calibri" w:cs="Calibri" w:eastAsia="Calibri" w:hAnsi="Calibri"/>
          <w:color w:val="D8D7D2"/>
          <w:sz w:val="19"/>
          <w:szCs w:val="19"/>
        </w:rPr>
        <w:t xml:space="preserve">   ·   </w:t>
      </w:r>
      <w:r>
        <w:rPr>
          <w:rFonts w:ascii="Calibri" w:cs="Calibri" w:eastAsia="Calibri" w:hAnsi="Calibri"/>
          <w:color w:val="96958F"/>
          <w:sz w:val="19"/>
          <w:szCs w:val="19"/>
        </w:rPr>
        <w:t xml:space="preserve">Sydney, NSW</w:t>
      </w:r>
    </w:p>
    <w:p>
      <w:pPr>
        <w:pBdr>
          <w:bottom w:val="single" w:color="F0C4B0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9B3D1F"/>
          <w:spacing w:val="80"/>
          <w:sz w:val="16"/>
          <w:szCs w:val="16"/>
        </w:rPr>
        <w:t xml:space="preserve">EXECUTIVE SUMMARY</w:t>
      </w:r>
    </w:p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Technology executive with 26+ years of experience leading enterprise-scale technology strategy, platform transformation, and operational excellence across education and government. I lead at the intersection of strategy, operational rigour, and human-centred design — building AI governance frameworks, directing large-scale infrastructure programs, and transforming team culture. My work is anchored in outcomes that matter: for learners, for organisations, and for the people who depend on technology to do their best work.</w:t>
      </w:r>
    </w:p>
    <w:p>
      <w:pPr>
        <w:spacing w:after="100" w:before="0"/>
      </w:pPr>
    </w:p>
    <w:p>
      <w:pPr>
        <w:pBdr>
          <w:bottom w:val="single" w:color="F0C4B0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9B3D1F"/>
          <w:spacing w:val="80"/>
          <w:sz w:val="16"/>
          <w:szCs w:val="16"/>
        </w:rPr>
        <w:t xml:space="preserve">KEY CAPABILITIES</w:t>
      </w:r>
    </w:p>
    <w:p>
      <w:pPr>
        <w:spacing w:after="60" w:before="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ICT strategy authorship &amp; execution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AI governance &amp; responsible technology</w:t>
            </w:r>
          </w:p>
        </w:tc>
      </w:tr>
      <w:tr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PMO establishment &amp; portfolio management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Board &amp; ELT-level risk advisory</w:t>
            </w:r>
          </w:p>
        </w:tc>
      </w:tr>
      <w:tr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Large-scale infrastructure program delivery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Service model transformation &amp; ITSM</w:t>
            </w:r>
          </w:p>
        </w:tc>
      </w:tr>
      <w:tr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Automation-first platform design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HR technology strategy &amp; AI roadmaps</w:t>
            </w:r>
          </w:p>
        </w:tc>
      </w:tr>
      <w:tr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High-performing team transformation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Community &amp; stakeholder engagement</w:t>
            </w:r>
          </w:p>
        </w:tc>
      </w:tr>
      <w:tr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Mentoring, coaching &amp; capability uplift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Vendor &amp; procurement management</w:t>
            </w:r>
          </w:p>
        </w:tc>
      </w:tr>
    </w:tbl>
    <w:p>
      <w:pPr>
        <w:spacing w:after="100" w:before="0"/>
      </w:pPr>
    </w:p>
    <w:p>
      <w:pPr>
        <w:pBdr>
          <w:bottom w:val="single" w:color="F0C4B0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9B3D1F"/>
          <w:spacing w:val="80"/>
          <w:sz w:val="16"/>
          <w:szCs w:val="16"/>
        </w:rPr>
        <w:t xml:space="preserve">SIGNATURE ACHIEVEMENTS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True North ICT Strategy — Hills Grammar School: Authored a multi-year ICT strategy transforming technology from a maintenance function into a strategic partner in the school's educational vision. Three pillars, multi-year investment plan, embedded in school governance.</w:t>
      </w:r>
    </w:p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COVID-19 ICT Response — NSW DoE: Led the statewide incident coordination response enabling learning continuity for 800,000+ students. 40,000+ emergency devices deployed in weeks.</w:t>
      </w:r>
    </w:p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ICTOR Program: Established and led a multi-million-dollar ICT operational readiness program for new NSW public schools under a $7.9B government infrastructure commitment.</w:t>
      </w:r>
    </w:p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AI Governance &amp; Automation — Hills Grammar: Deployed MS Copilot, ChatGPT governance frameworks, chatbot service desk, and automated device lifecycle management.</w:t>
      </w:r>
    </w:p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$16M+ SaaS Transformation — University of Sydney: Directed Canvas LMS migration, learning analytics, curriculum mapping platform, and AWS integrations. Standardised PMO methodology for the institution.</w:t>
      </w:r>
    </w:p>
    <w:p>
      <w:pPr>
        <w:spacing w:after="100" w:before="0"/>
      </w:pPr>
    </w:p>
    <w:p>
      <w:pPr>
        <w:pBdr>
          <w:bottom w:val="single" w:color="F0C4B0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9B3D1F"/>
          <w:spacing w:val="80"/>
          <w:sz w:val="16"/>
          <w:szCs w:val="16"/>
        </w:rPr>
        <w:t xml:space="preserve">CAREER HISTORY</w:t>
      </w:r>
    </w:p>
    <w:p>
      <w:pPr>
        <w:spacing w:after="40" w:before="0"/>
      </w:pPr>
    </w:p>
    <w:p>
      <w:pPr>
        <w:tabs>
          <w:tab w:val="right" w:pos="9746"/>
        </w:tabs>
        <w:spacing w:after="40" w:before="200"/>
      </w:pPr>
      <w:r>
        <w:rPr>
          <w:rFonts w:ascii="Georgia" w:cs="Georgia" w:eastAsia="Georgia" w:hAnsi="Georgia"/>
          <w:b/>
          <w:bCs/>
          <w:color w:val="1A1A18"/>
          <w:sz w:val="23"/>
          <w:szCs w:val="23"/>
        </w:rPr>
        <w:t xml:space="preserve">Director of Information Technology (ELT / Head Of)</w:t>
      </w:r>
      <w:r>
        <w:rPr>
          <w:rFonts w:ascii="Calibri" w:cs="Calibri" w:eastAsia="Calibri" w:hAnsi="Calibri"/>
          <w:color w:val="96958F"/>
          <w:sz w:val="21"/>
          <w:szCs w:val="21"/>
        </w:rPr>
        <w:t xml:space="preserve">  ·  </w:t>
      </w:r>
      <w:r>
        <w:rPr>
          <w:rFonts w:ascii="Georgia" w:cs="Georgia" w:eastAsia="Georgia" w:hAnsi="Georgia"/>
          <w:i/>
          <w:iCs/>
          <w:color w:val="C96442"/>
          <w:sz w:val="21"/>
          <w:szCs w:val="21"/>
        </w:rPr>
        <w:t xml:space="preserve">Hills Grammar School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6958F"/>
          <w:sz w:val="19"/>
          <w:szCs w:val="19"/>
        </w:rPr>
        <w:t xml:space="preserve">July 2023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96958F"/>
          <w:sz w:val="19"/>
          <w:szCs w:val="19"/>
        </w:rPr>
        <w:t xml:space="preserve">ELT Member  ·  8 direct reports  ·  DevOps, IT PMO and Operational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True North ICT Strategy 2025–2030 — three-pillar roadmap (Educational Excellence, Operational Efficiency, Community Engagement) with multi-year investment plan and governance structures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Education Application Review Board — values-embedded governance process filtering every technology adoption through educational and pastoral criteria, not just commercial ones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AI capability program — MS Copilot deployment, ChatGPT governance framework, chatbot service desk, and end-to-end device lifecycle automation via MS AutoPilot/Intune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Team transformation — restructured roles, introduced DevOps and Agile, built service catalogue and PMO; team shifted from reactive to trusted strategic partner within 12 months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Cyber security uplift — MFA, phishing simulation, external audit program, Cyber Security Response Protocol, and board-level risk reporting</w:t>
      </w:r>
    </w:p>
    <w:p>
      <w:pPr>
        <w:spacing w:after="60" w:before="0"/>
      </w:pPr>
    </w:p>
    <w:p>
      <w:pPr>
        <w:tabs>
          <w:tab w:val="right" w:pos="9746"/>
        </w:tabs>
        <w:spacing w:after="40" w:before="200"/>
      </w:pPr>
      <w:r>
        <w:rPr>
          <w:rFonts w:ascii="Georgia" w:cs="Georgia" w:eastAsia="Georgia" w:hAnsi="Georgia"/>
          <w:b/>
          <w:bCs/>
          <w:color w:val="1A1A18"/>
          <w:sz w:val="23"/>
          <w:szCs w:val="23"/>
        </w:rPr>
        <w:t xml:space="preserve">Regional Microsoft Education Solutions Lead (ANZ/JP)</w:t>
      </w:r>
      <w:r>
        <w:rPr>
          <w:rFonts w:ascii="Calibri" w:cs="Calibri" w:eastAsia="Calibri" w:hAnsi="Calibri"/>
          <w:color w:val="96958F"/>
          <w:sz w:val="21"/>
          <w:szCs w:val="21"/>
        </w:rPr>
        <w:t xml:space="preserve">  ·  </w:t>
      </w:r>
      <w:r>
        <w:rPr>
          <w:rFonts w:ascii="Georgia" w:cs="Georgia" w:eastAsia="Georgia" w:hAnsi="Georgia"/>
          <w:i/>
          <w:iCs/>
          <w:color w:val="C96442"/>
          <w:sz w:val="21"/>
          <w:szCs w:val="21"/>
        </w:rPr>
        <w:t xml:space="preserve">Lenovo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6958F"/>
          <w:sz w:val="19"/>
          <w:szCs w:val="19"/>
        </w:rPr>
        <w:t xml:space="preserve">April 2022 – July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Co-defined, developed, and launched EdVision — a holistic Microsoft + Lenovo digital ecosystem for K–12, university, and government education across ANZ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Delivered ICT maturity assessment tools, hybrid learning platforms, and professional learning programs for educators and executives across Australia and Japan</w:t>
      </w:r>
    </w:p>
    <w:p>
      <w:pPr>
        <w:spacing w:after="60" w:before="0"/>
      </w:pPr>
    </w:p>
    <w:p>
      <w:pPr>
        <w:tabs>
          <w:tab w:val="right" w:pos="9746"/>
        </w:tabs>
        <w:spacing w:after="40" w:before="200"/>
      </w:pPr>
      <w:r>
        <w:rPr>
          <w:rFonts w:ascii="Georgia" w:cs="Georgia" w:eastAsia="Georgia" w:hAnsi="Georgia"/>
          <w:b/>
          <w:bCs/>
          <w:color w:val="1A1A18"/>
          <w:sz w:val="23"/>
          <w:szCs w:val="23"/>
        </w:rPr>
        <w:t xml:space="preserve">Director, IT &amp; Infrastructure Coordination (ELT / Head Of)</w:t>
      </w:r>
      <w:r>
        <w:rPr>
          <w:rFonts w:ascii="Calibri" w:cs="Calibri" w:eastAsia="Calibri" w:hAnsi="Calibri"/>
          <w:color w:val="96958F"/>
          <w:sz w:val="21"/>
          <w:szCs w:val="21"/>
        </w:rPr>
        <w:t xml:space="preserve">  ·  </w:t>
      </w:r>
      <w:r>
        <w:rPr>
          <w:rFonts w:ascii="Georgia" w:cs="Georgia" w:eastAsia="Georgia" w:hAnsi="Georgia"/>
          <w:i/>
          <w:iCs/>
          <w:color w:val="C96442"/>
          <w:sz w:val="21"/>
          <w:szCs w:val="21"/>
        </w:rPr>
        <w:t xml:space="preserve">NSW Department of Education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6958F"/>
          <w:sz w:val="19"/>
          <w:szCs w:val="19"/>
        </w:rPr>
        <w:t xml:space="preserve">July 2019 – November 2021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96958F"/>
          <w:sz w:val="19"/>
          <w:szCs w:val="19"/>
        </w:rPr>
        <w:t xml:space="preserve">ELT Member  ·  6 direct, 170+ indirect reports  ·  2,200+ schools  ·  800,000 students  ·  65,000 teachers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COVID-19 ICT Incident Coordination Response — formed and led the ICR Team; enabled learning continuity for 800,000+ students through emergency device deployment (40,000+ units) and rapid digital transformation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ICTOR Program — established and led a multi-million-dollar ICT operational readiness initiative for new NSW public schools under the government's $7.9B infrastructure commitment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Delivered ICT policy, governance frameworks, and technical standards; advised NSW Parliament and senior government officials on digital education strategy</w:t>
      </w:r>
    </w:p>
    <w:p>
      <w:pPr>
        <w:spacing w:after="60" w:before="0"/>
      </w:pPr>
    </w:p>
    <w:p>
      <w:pPr>
        <w:tabs>
          <w:tab w:val="right" w:pos="9746"/>
        </w:tabs>
        <w:spacing w:after="40" w:before="200"/>
      </w:pPr>
      <w:r>
        <w:rPr>
          <w:rFonts w:ascii="Georgia" w:cs="Georgia" w:eastAsia="Georgia" w:hAnsi="Georgia"/>
          <w:b/>
          <w:bCs/>
          <w:color w:val="1A1A18"/>
          <w:sz w:val="23"/>
          <w:szCs w:val="23"/>
        </w:rPr>
        <w:t xml:space="preserve">ICT Program Manager</w:t>
      </w:r>
      <w:r>
        <w:rPr>
          <w:rFonts w:ascii="Calibri" w:cs="Calibri" w:eastAsia="Calibri" w:hAnsi="Calibri"/>
          <w:color w:val="96958F"/>
          <w:sz w:val="21"/>
          <w:szCs w:val="21"/>
        </w:rPr>
        <w:t xml:space="preserve">  ·  </w:t>
      </w:r>
      <w:r>
        <w:rPr>
          <w:rFonts w:ascii="Georgia" w:cs="Georgia" w:eastAsia="Georgia" w:hAnsi="Georgia"/>
          <w:i/>
          <w:iCs/>
          <w:color w:val="C96442"/>
          <w:sz w:val="21"/>
          <w:szCs w:val="21"/>
        </w:rPr>
        <w:t xml:space="preserve">NSW Department of Education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6958F"/>
          <w:sz w:val="19"/>
          <w:szCs w:val="19"/>
        </w:rPr>
        <w:t xml:space="preserve">2018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Managed concurrent capital works and ICT programs including $26M annual device rollout, server refresh across 2,000+ sites, and ICT operational readiness uplift</w:t>
      </w:r>
    </w:p>
    <w:p>
      <w:pPr>
        <w:spacing w:after="60" w:before="0"/>
      </w:pPr>
    </w:p>
    <w:p>
      <w:pPr>
        <w:tabs>
          <w:tab w:val="right" w:pos="9746"/>
        </w:tabs>
        <w:spacing w:after="40" w:before="200"/>
      </w:pPr>
      <w:r>
        <w:rPr>
          <w:rFonts w:ascii="Georgia" w:cs="Georgia" w:eastAsia="Georgia" w:hAnsi="Georgia"/>
          <w:b/>
          <w:bCs/>
          <w:color w:val="1A1A18"/>
          <w:sz w:val="23"/>
          <w:szCs w:val="23"/>
        </w:rPr>
        <w:t xml:space="preserve">ICT Program Manager (Education Portfolio)</w:t>
      </w:r>
      <w:r>
        <w:rPr>
          <w:rFonts w:ascii="Calibri" w:cs="Calibri" w:eastAsia="Calibri" w:hAnsi="Calibri"/>
          <w:color w:val="96958F"/>
          <w:sz w:val="21"/>
          <w:szCs w:val="21"/>
        </w:rPr>
        <w:t xml:space="preserve">  ·  </w:t>
      </w:r>
      <w:r>
        <w:rPr>
          <w:rFonts w:ascii="Georgia" w:cs="Georgia" w:eastAsia="Georgia" w:hAnsi="Georgia"/>
          <w:i/>
          <w:iCs/>
          <w:color w:val="C96442"/>
          <w:sz w:val="21"/>
          <w:szCs w:val="21"/>
        </w:rPr>
        <w:t xml:space="preserve">University of Sydney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6958F"/>
          <w:sz w:val="19"/>
          <w:szCs w:val="19"/>
        </w:rPr>
        <w:t xml:space="preserve">2017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Directed $16M+ SaaS transformation portfolio: Canvas LMS migration, enterprise curriculum mapping, learning analytics, and survey platform renewal; delivered AWS integrations and standardised PMO methodology</w:t>
      </w:r>
    </w:p>
    <w:p>
      <w:pPr>
        <w:spacing w:after="60" w:before="0"/>
      </w:pPr>
    </w:p>
    <w:p>
      <w:pPr>
        <w:tabs>
          <w:tab w:val="right" w:pos="9746"/>
        </w:tabs>
        <w:spacing w:after="40" w:before="200"/>
      </w:pPr>
      <w:r>
        <w:rPr>
          <w:rFonts w:ascii="Georgia" w:cs="Georgia" w:eastAsia="Georgia" w:hAnsi="Georgia"/>
          <w:b/>
          <w:bCs/>
          <w:color w:val="1A1A18"/>
          <w:sz w:val="23"/>
          <w:szCs w:val="23"/>
        </w:rPr>
        <w:t xml:space="preserve">ICT Senior Project Manager</w:t>
      </w:r>
      <w:r>
        <w:rPr>
          <w:rFonts w:ascii="Calibri" w:cs="Calibri" w:eastAsia="Calibri" w:hAnsi="Calibri"/>
          <w:color w:val="96958F"/>
          <w:sz w:val="21"/>
          <w:szCs w:val="21"/>
        </w:rPr>
        <w:t xml:space="preserve">  ·  </w:t>
      </w:r>
      <w:r>
        <w:rPr>
          <w:rFonts w:ascii="Georgia" w:cs="Georgia" w:eastAsia="Georgia" w:hAnsi="Georgia"/>
          <w:i/>
          <w:iCs/>
          <w:color w:val="C96442"/>
          <w:sz w:val="21"/>
          <w:szCs w:val="21"/>
        </w:rPr>
        <w:t xml:space="preserve">University of Sydney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6958F"/>
          <w:sz w:val="19"/>
          <w:szCs w:val="19"/>
        </w:rPr>
        <w:t xml:space="preserve">2015 – 2017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Managed the Learning Space Development Program — AV/ICT infrastructure upgrades across teaching spaces; established BAU cyclical rollout model</w:t>
      </w:r>
    </w:p>
    <w:p>
      <w:pPr>
        <w:spacing w:after="60" w:before="0"/>
      </w:pPr>
    </w:p>
    <w:p>
      <w:pPr>
        <w:tabs>
          <w:tab w:val="right" w:pos="9746"/>
        </w:tabs>
        <w:spacing w:after="40" w:before="200"/>
      </w:pPr>
      <w:r>
        <w:rPr>
          <w:rFonts w:ascii="Georgia" w:cs="Georgia" w:eastAsia="Georgia" w:hAnsi="Georgia"/>
          <w:b/>
          <w:bCs/>
          <w:color w:val="1A1A18"/>
          <w:sz w:val="23"/>
          <w:szCs w:val="23"/>
        </w:rPr>
        <w:t xml:space="preserve">ICT Service Relationship Manager</w:t>
      </w:r>
      <w:r>
        <w:rPr>
          <w:rFonts w:ascii="Calibri" w:cs="Calibri" w:eastAsia="Calibri" w:hAnsi="Calibri"/>
          <w:color w:val="96958F"/>
          <w:sz w:val="21"/>
          <w:szCs w:val="21"/>
        </w:rPr>
        <w:t xml:space="preserve">  ·  </w:t>
      </w:r>
      <w:r>
        <w:rPr>
          <w:rFonts w:ascii="Georgia" w:cs="Georgia" w:eastAsia="Georgia" w:hAnsi="Georgia"/>
          <w:i/>
          <w:iCs/>
          <w:color w:val="C96442"/>
          <w:sz w:val="21"/>
          <w:szCs w:val="21"/>
        </w:rPr>
        <w:t xml:space="preserve">NSW Department of Education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6958F"/>
          <w:sz w:val="19"/>
          <w:szCs w:val="19"/>
        </w:rPr>
        <w:t xml:space="preserve">2014 – 2015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Led Level 2/3 ICT support across 511 school sites; created the NSW Schools Software Catalogue (still in active use today)</w:t>
      </w:r>
    </w:p>
    <w:p>
      <w:pPr>
        <w:spacing w:after="60" w:before="0"/>
      </w:pPr>
    </w:p>
    <w:p>
      <w:pPr>
        <w:tabs>
          <w:tab w:val="right" w:pos="9746"/>
        </w:tabs>
        <w:spacing w:after="40" w:before="200"/>
      </w:pPr>
      <w:r>
        <w:rPr>
          <w:rFonts w:ascii="Georgia" w:cs="Georgia" w:eastAsia="Georgia" w:hAnsi="Georgia"/>
          <w:b/>
          <w:bCs/>
          <w:color w:val="1A1A18"/>
          <w:sz w:val="23"/>
          <w:szCs w:val="23"/>
        </w:rPr>
        <w:t xml:space="preserve">ICT Relationship Manager</w:t>
      </w:r>
      <w:r>
        <w:rPr>
          <w:rFonts w:ascii="Calibri" w:cs="Calibri" w:eastAsia="Calibri" w:hAnsi="Calibri"/>
          <w:color w:val="96958F"/>
          <w:sz w:val="21"/>
          <w:szCs w:val="21"/>
        </w:rPr>
        <w:t xml:space="preserve">  ·  </w:t>
      </w:r>
      <w:r>
        <w:rPr>
          <w:rFonts w:ascii="Georgia" w:cs="Georgia" w:eastAsia="Georgia" w:hAnsi="Georgia"/>
          <w:i/>
          <w:iCs/>
          <w:color w:val="C96442"/>
          <w:sz w:val="21"/>
          <w:szCs w:val="21"/>
        </w:rPr>
        <w:t xml:space="preserve">TAFE NSW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6958F"/>
          <w:sz w:val="19"/>
          <w:szCs w:val="19"/>
        </w:rPr>
        <w:t xml:space="preserve">2013 – 2014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Delivered ICT uplift projects and operational support services across 300+ campuses</w:t>
      </w:r>
    </w:p>
    <w:p>
      <w:pPr>
        <w:spacing w:after="40" w:before="0"/>
      </w:pP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6958F"/>
          <w:sz w:val="18"/>
          <w:szCs w:val="18"/>
        </w:rPr>
        <w:t xml:space="preserve">Earlier roles with TAFE Hunter (2005–2013) available on request.</w:t>
      </w:r>
    </w:p>
    <w:p>
      <w:pPr>
        <w:pBdr>
          <w:bottom w:val="single" w:color="F0C4B0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9B3D1F"/>
          <w:spacing w:val="80"/>
          <w:sz w:val="16"/>
          <w:szCs w:val="16"/>
        </w:rPr>
        <w:t xml:space="preserve">QUALIFICATIONS &amp; CERTIFICATIONS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Advanced Diploma of Management (Distinction)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Diploma of Information Technology: Network Engineering (Distinction)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MSP (Managing Successful Programs) Practitioner  ·  PRINCE2 Practitioner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ITIL OSA v3  ·  ITIL Foundation v3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Certificate IV in Training &amp; Assessment  ·  Certificate IV in Business (Frontline Management)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C5C56"/>
          <w:sz w:val="20"/>
          <w:szCs w:val="20"/>
        </w:rPr>
        <w:t xml:space="preserve">Kepner &amp; Fourie: Problem Root Cause Analysis</w:t>
      </w:r>
    </w:p>
    <w:p>
      <w:pPr>
        <w:spacing w:after="80" w:before="0"/>
      </w:pPr>
    </w:p>
    <w:p>
      <w:pPr>
        <w:spacing w:after="0" w:before="40"/>
      </w:pPr>
      <w:r>
        <w:rPr>
          <w:rFonts w:ascii="Calibri" w:cs="Calibri" w:eastAsia="Calibri" w:hAnsi="Calibri"/>
          <w:i/>
          <w:iCs/>
          <w:color w:val="96958F"/>
          <w:sz w:val="18"/>
          <w:szCs w:val="18"/>
        </w:rPr>
        <w:t xml:space="preserve">References available on request.  |  adamwollins@me.com  |  (+ 61) 400 842 314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rFonts w:ascii="Calibri" w:cs="Calibri" w:eastAsia="Calibri" w:hAnsi="Calibri"/>
        <w:color w:val="C96442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C5C5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2026-04-03T01:35:52.785Z</dcterms:created>
  <dcterms:modified xsi:type="dcterms:W3CDTF">2026-04-03T01:35:52.805Z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