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t xml:space="preserve">+Trabalho resultado de projeto de Iniciação Científica (IC) no Laboratório Multidisciplinar em Alimentação e Saúde (LabMAS), Faculdade de Ciências Aplicadas (FCA), Universidade Estadual de Campinas (UNICAMP), 2023–2025.</w:t>
      </w:r>
      <w:r>
        <w:t xml:space="preserve"> </w:t>
      </w: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- 1. Laboratório Multidisciplinar em Alimentação e Saúde (LabMAS), Faculdade de Ciências Aplicadas, Universidade Estadual de Campinas (Campinas, SP, Brasil) — Éllis Wollis Malta Abhulime (Bolsista de IC, 2023–2025)</w:t>
      </w:r>
      <w:r>
        <w:t xml:space="preserve"> </w:t>
      </w:r>
      <w:r>
        <w:t xml:space="preserve">- 2. Profa. Dra. Orientadora de IC, Laboratório Multidisciplinar em Alimentação e Saúde (LabMAS), Faculdade de Ciências Aplicadas, Universidade Estadual de Campinas (Campinas, SP, Brasil) —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p>
      <w:pPr>
        <w:pStyle w:val="BodyText"/>
      </w:pPr>
      <w:r>
        <w:t xml:space="preserve">Adicionalmente, foi conduzida uma análise de poder para a comparação de H1, utilizando a aproximação de Cohen’s d a partir do tamanho de efeito r (d = 2r/√(1−r²)), resultando em d = 0.2244 e poder = 0.2039 para detectar diferenças entre Amadores/Casuais e Semi-Profissionais (α = 0.05). Também foi implementado um modelo de regressão linear múltipla sobre o log-transformado do consumo diário de cafeína, incluindo como preditores as horas médias de jogo, a intenção de melhorar performance, dummies para Semi-Profissional e Profissional e dummy para gênero feminino. O modelo apresentou R² ajustado = 0.102 (R² = 0.129), com efeitos significativos de intenção de performance (β = 1.151, p = 0.001), nível Semi-Profissional (β = -0.721, p = 0.049) e efeito marginal do nível Profissional (β = 1.732, p = 0.053).</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p>
      <w:pPr>
        <w:numPr>
          <w:ilvl w:val="0"/>
          <w:numId w:val="1006"/>
        </w:numPr>
      </w:pPr>
      <w:r>
        <w:t xml:space="preserve">Institute of Medicine. (2001). Caffeine for the Sustainment of Mental Task Performance: Formulations for Military Operations. Washington, DC: The National Academies Press.</w:t>
      </w:r>
    </w:p>
    <w:p>
      <w:pPr>
        <w:numPr>
          <w:ilvl w:val="0"/>
          <w:numId w:val="1006"/>
        </w:numPr>
      </w:pPr>
      <w:r>
        <w:t xml:space="preserve">U.S. Department of Agriculture. FoodData Central. Retrieved May 2025, from https://fdc.nal.usda.gov/</w:t>
      </w:r>
    </w:p>
    <w:p>
      <w:pPr>
        <w:numPr>
          <w:ilvl w:val="0"/>
          <w:numId w:val="1006"/>
        </w:numPr>
      </w:pPr>
      <w:r>
        <w:t xml:space="preserve">European Food Safety Authority (EFSA). (2018). Opinion on the safety of caffeine. EFSA Journal, 16(8), 5399.</w:t>
      </w:r>
    </w:p>
    <w:p>
      <w:pPr>
        <w:numPr>
          <w:ilvl w:val="0"/>
          <w:numId w:val="1006"/>
        </w:numPr>
      </w:pPr>
      <w:r>
        <w:t xml:space="preserve">Red Bull GmbH. (2024). Nutrition Information: Red Bull Energy Drink. Retrieved May 2025, from https://www.redbull.com/</w:t>
      </w:r>
    </w:p>
    <w:p>
      <w:pPr>
        <w:numPr>
          <w:ilvl w:val="0"/>
          <w:numId w:val="1006"/>
        </w:numPr>
      </w:pPr>
      <w:r>
        <w:t xml:space="preserve">Monster Energy Company. (2024). Nutrition Facts: Monster Energy. Retrieved May 2025, from https://www.monsterenergy.com/</w:t>
      </w:r>
    </w:p>
    <w:p>
      <w:pPr>
        <w:numPr>
          <w:ilvl w:val="0"/>
          <w:numId w:val="1006"/>
        </w:numPr>
      </w:pPr>
      <w:r>
        <w:t xml:space="preserve">Nestlé Brasil. (2024). Nescafé Classic: Informações Nutricionais. Retrieved May 2025, from https://www.nestle.com.br/</w:t>
      </w:r>
    </w:p>
    <w:p>
      <w:pPr>
        <w:numPr>
          <w:ilvl w:val="0"/>
          <w:numId w:val="1006"/>
        </w:numPr>
      </w:pPr>
      <w:r>
        <w:t xml:space="preserve">National Coffee Association USA. (2023). Coffee Drinking Trends. Retrieved May 2025, from https://www.ncausa.org/</w:t>
      </w:r>
    </w:p>
    <w:p>
      <w:pPr>
        <w:numPr>
          <w:ilvl w:val="0"/>
          <w:numId w:val="1006"/>
        </w:numPr>
      </w:pPr>
      <w:r>
        <w:t xml:space="preserve">The Coca-Cola Company. (2024). Coca-Cola Classic: Ingredients and Nutrition Facts. Retrieved May 2025, from https://www.coca-cola.com/</w:t>
      </w:r>
    </w:p>
    <w:p>
      <w:pPr>
        <w:numPr>
          <w:ilvl w:val="0"/>
          <w:numId w:val="1006"/>
        </w:numPr>
      </w:pPr>
      <w:r>
        <w:t xml:space="preserve">Associação Brasileira da Indústria de Chocolate (ABIC). (2023). Caderno Técnico de Chocolate: Teores de Cafeína. São Paulo: ABIC.</w:t>
      </w:r>
    </w:p>
    <w:p>
      <w:pPr>
        <w:numPr>
          <w:ilvl w:val="0"/>
          <w:numId w:val="1006"/>
        </w:numPr>
      </w:pPr>
      <w:r>
        <w:t xml:space="preserve">Mann, H. B., &amp; Whitney, D. R. (1947). On a Test of whether one of two Random Variables is Stochastically Larger than the Other. The Annals of Mathematical Statistics, 18(1), 50–60.</w:t>
      </w:r>
    </w:p>
    <w:p>
      <w:pPr>
        <w:numPr>
          <w:ilvl w:val="0"/>
          <w:numId w:val="1006"/>
        </w:numPr>
      </w:pPr>
      <w:r>
        <w:t xml:space="preserve">Kruskal, W. H., &amp; Wallis, W. A. (1952). Use of Ranks in One-Criterion Variance Analysis. Journal of the American Statistical Association, 47(260), 583–621.</w:t>
      </w:r>
    </w:p>
    <w:p>
      <w:pPr>
        <w:numPr>
          <w:ilvl w:val="0"/>
          <w:numId w:val="1006"/>
        </w:numPr>
      </w:pPr>
      <w:r>
        <w:t xml:space="preserve">Shapiro, S. S., &amp; Wilk, M. B. (1965). An Analysis of Variance Test for Normality (Complete Samples). Biometrika, 52(3–4), 591–611.</w:t>
      </w:r>
    </w:p>
    <w:p>
      <w:pPr>
        <w:numPr>
          <w:ilvl w:val="0"/>
          <w:numId w:val="1006"/>
        </w:numPr>
      </w:pPr>
      <w:r>
        <w:t xml:space="preserve">Spearman, C. (1904). The Proof and Measurement of Association Between Two Things. The American Journal of Psychology, 15(1), 72–101.</w:t>
      </w:r>
    </w:p>
    <w:p>
      <w:pPr>
        <w:numPr>
          <w:ilvl w:val="0"/>
          <w:numId w:val="1006"/>
        </w:numPr>
      </w:pPr>
      <w:r>
        <w:t xml:space="preserve">Virtanen, P., et al. (2020). SciPy 1.0: Fundamental Algorithms for Scientific Computing in Python. Nature Methods, 17(3), 261–272.</w:t>
      </w:r>
    </w:p>
    <w:p>
      <w:pPr>
        <w:numPr>
          <w:ilvl w:val="0"/>
          <w:numId w:val="1006"/>
        </w:numPr>
      </w:pPr>
      <w:r>
        <w:t xml:space="preserve">Dinno, A. (2017). scikit-posthocs: Pairwise Multiple Comparison Tests in Python. Journal of Open Source Software, 2(13), 254.</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2025-05-30T00:44:28Z</dcterms:created>
  <dcterms:modified xsi:type="dcterms:W3CDTF">2025-05-30T00:44:28Z</dcterms:modified>
</cp:coreProperties>
</file>

<file path=docProps/custom.xml><?xml version="1.0" encoding="utf-8"?>
<Properties xmlns="http://schemas.openxmlformats.org/officeDocument/2006/custom-properties" xmlns:vt="http://schemas.openxmlformats.org/officeDocument/2006/docPropsVTypes"/>
</file>