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t xml:space="preserve">+Trabalho resultado de projeto de Iniciação Científica (IC) no Laboratório de Modelagem e Simulação (LabMAS), Faculdade de Ciências Aplicadas (FCA), Universidade Estadual de Campinas (UNICAMP), 2023–2025.</w:t>
      </w:r>
      <w:r>
        <w:t xml:space="preserve"> </w:t>
      </w: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- 1. Laboratório de Modelagem e Simulação (LabMAS), Faculdade de Ciências Aplicadas, Universidade Estadual de Campinas (Campinas, SP, Brasil) — Éllis Wollis Malta Abhulime (Bolsista de IC, 2023–2025)</w:t>
      </w:r>
      <w:r>
        <w:t xml:space="preserve"> </w:t>
      </w:r>
      <w:r>
        <w:t xml:space="preserve">- 2. Profa. Dra. Orientadora de IC, Laboratório de Modelagem e Simulação (LabMAS), Faculdade de Ciências Aplicadas, Universidade Estadual de Campinas (Campinas, SP, Brasil) —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A análise global pelo teste de Kruskal-Wallis indicou diferença no consumo de cafeína entre Amadores/Casuais, Semi-Profissionais e Profissionais (H = 8.11, p = 0.0173). Na comparação direta entre Amadores/Casuais (281.40 mg) e Semi-Profissionais (210.66 mg), não houve diferença significativa (U = 2647.50, p = 0.1383, r = 0.1115).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(ρ = 0.0460, p = 0.5456).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(7). O Brasil acompanha essa tendência, sendo um dos maiores mercados da América Latina, com uma audiência que ultrapassou 40 milhões de pessoas em 2023 (10).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(8, 9).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(3).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(4, 5).</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(6).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nomeadamente insônia e dor de estômago. (Investigou-se também taquicardia e tremores).</w:t>
      </w:r>
      <w:r>
        <w:t xml:space="preserve"> </w:t>
      </w:r>
      <w:r>
        <w:t xml:space="preserve">4.</w:t>
      </w:r>
      <w:r>
        <w:t xml:space="preserve"> </w:t>
      </w:r>
      <w:r>
        <w:rPr>
          <w:b/>
          <w:bCs/>
        </w:rPr>
        <w:t xml:space="preserve">H4:</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H5:</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H6:</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p>
      <w:pPr>
        <w:pStyle w:val="BodyText"/>
      </w:pPr>
      <w:r>
        <w:rPr>
          <w:rStyle w:val="VerbatimChar"/>
          <w:b/>
          <w:bCs/>
        </w:rPr>
        <w:t xml:space="preserve">2.4.1 Quantificação do Consumo de Cafeína</w:t>
      </w:r>
    </w:p>
    <w:p>
      <w:pPr>
        <w:pStyle w:val="BodyText"/>
      </w:pPr>
      <w:r>
        <w:rPr>
          <w:rStyle w:val="VerbatimChar"/>
        </w:rPr>
        <w:t xml:space="preserve">O consumo diário total de cafeína para cada participante foi recalculado post-hoc para garantir maior precisão e consistência, utilizando um script Python dedicado (disponível em src/recalculate_caffeine.py). Este script processou as respostas do questionário referentes ao consumo de diferentes itens contendo cafeína, incluindo café, chás, bebidas energéticas, refrigerantes (tipo cola), chocolates e suplementos (pílulas de cafeína e pré-treinos).</w:t>
      </w:r>
    </w:p>
    <w:p>
      <w:pPr>
        <w:pStyle w:val="BodyText"/>
      </w:pPr>
      <w:r>
        <w:rPr>
          <w:rStyle w:val="VerbatimChar"/>
        </w:rPr>
        <w:t xml:space="preserve">Para cada item, a metodologia considerou:</w:t>
      </w:r>
      <w:r>
        <w:t xml:space="preserve"> </w:t>
      </w:r>
      <w:r>
        <w:rPr>
          <w:rStyle w:val="VerbatimChar"/>
        </w:rPr>
        <w:t xml:space="preserve">1.  **Frequência de Consumo:** As respostas sobre a frequência de consumo semanal (e.g., "3-4 vezes por semana") e, quando aplicável, o número de vezes ao dia, foram convertidas em um multiplicador diário médio.</w:t>
      </w:r>
      <w:r>
        <w:t xml:space="preserve"> </w:t>
      </w:r>
      <w:r>
        <w:rPr>
          <w:rStyle w:val="VerbatimChar"/>
        </w:rPr>
        <w:t xml:space="preserve">2.  **Tipo de Produto e Volume:** As respostas sobre o tipo específico de produto (e.g., "Café expresso", "Chá preto", "Monster Energy Drink", "Chocolate meio amargo") e o volume da porção consumida (e.g., "Xícara pequena: 50 ml", "Lata de 473ml") foram utilizadas para selecionar o teor de cafeína apropriado de uma tabela de referência consolidada e para ajustar a cafeína proporcionalmente ao volume.</w:t>
      </w:r>
      <w:r>
        <w:t xml:space="preserve"> </w:t>
      </w:r>
      <w:r>
        <w:rPr>
          <w:rStyle w:val="VerbatimChar"/>
        </w:rPr>
        <w:t xml:space="preserve">3.  **Tabela de Referência de Cafeína:** Uma tabela de referência detalhada (CAFFEINE_REFERENCE no script src/recalculate_caffeine.py) foi compilada com base em informações do estudo original (docs/RelatórioFinal_Éllis.md) e complementada com dados de fontes nutricionais e fabricantes. Esta tabela especifica o teor médio de cafeína (em mg) por porção padrão (e.g., por 100ml para bebidas, por 30g para chocolates sólidos, por unidade para pílulas). Funções auxiliares foram implementadas para interpretar volumes descritos textualmente (e.g., "Xícara grande") e porções de chocolate (e.g., "2 quadradinhos").</w:t>
      </w:r>
      <w:r>
        <w:t xml:space="preserve"> </w:t>
      </w:r>
      <w:r>
        <w:rPr>
          <w:rStyle w:val="VerbatimChar"/>
        </w:rPr>
        <w:t xml:space="preserve">4.  **Cálculo da Dose Diária:** Para cada item consumido, a dose de cafeína foi calculada multiplicando-se o teor de cafeína da porção (ajustado pelo volume, se aplicável) pelo multiplicador diário de frequência. A soma das doses de cafeína de todos os itens resultou no consumo diário total de cafeína recalculado para cada participante. O consumo semanal foi derivado multiplicando-se o valor diário por sete.</w:t>
      </w:r>
      <w:r>
        <w:t xml:space="preserve"> </w:t>
      </w:r>
      <w:r>
        <w:rPr>
          <w:rStyle w:val="VerbatimChar"/>
        </w:rPr>
        <w:t xml:space="preserve">5.  **Casos Especiais:** Para suplementos, se o participante especificou a dose de cafeína em mg (e.g., "400mg"), este valor foi utilizado diretamente, sobrepondo-se ao valor padrão da tabela de referência. Para chás de ervas, o teor de cafeína foi considerado zero. No caso de múltiplos tipos de um mesmo item (e.g., diferentes tipos de café ou chocolate), a lógica considerou a resposta principal e, em alguns casos de consumo concomitante, adicionou contribuições de tipos secundários, conforme detalhado no script.</w:t>
      </w:r>
    </w:p>
    <w:p>
      <w:pPr>
        <w:pStyle w:val="BodyText"/>
      </w:pPr>
      <w:r>
        <w:rPr>
          <w:rStyle w:val="VerbatimChar"/>
        </w:rPr>
        <w:t xml:space="preserve">Os valores recalculados de consumo diário e semanal de cafeína foram armazenados em novas colunas (</w:t>
      </w:r>
      <w:r>
        <w:t xml:space="preserve">Consumo Diário Total de Cafeína Recalculado (mg)</w:t>
      </w:r>
      <w:r>
        <w:rPr>
          <w:rStyle w:val="VerbatimChar"/>
        </w:rPr>
        <w:t xml:space="preserve">e</w:t>
      </w:r>
      <w:r>
        <w:t xml:space="preserve">Consumo Semanal Total de Cafeína Recalculado (mg)</w:t>
      </w:r>
      <w:r>
        <w:rPr>
          <w:rStyle w:val="VerbatimChar"/>
        </w:rPr>
        <w:t xml:space="preserve">) no arquivo IC_Dados_Curados_Cafeina_Recalculada_v3.csv, permitindo comparações com os cálculos originais e servindo de base para as análises reportadas neste estudo que utilizam a variável de consumo de cafeína.</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os testes estatísticos principais e</w:t>
      </w:r>
      <w:r>
        <w:t xml:space="preserve"> </w:t>
      </w:r>
      <w:r>
        <w:rPr>
          <w:rStyle w:val="VerbatimChar"/>
        </w:rPr>
        <w:t xml:space="preserve">scikit-posthocs</w:t>
      </w:r>
      <w:r>
        <w:t xml:space="preserve"> </w:t>
      </w:r>
      <w:r>
        <w:t xml:space="preserve">para testes post-hoc específicos (como Dunn com correção de Bonferroni).</w:t>
      </w:r>
      <w:r>
        <w:t xml:space="preserve"> </w:t>
      </w:r>
      <w:r>
        <w:t xml:space="preserve">Para comparar o Consumo Diário Total de Cafeína (mg) (variável contínua não normalmente distribuída) entre dois grupos independentes (e.g., Ocorrência de Insônia Sim/Não, Consumo de Cafeína com Intenção de Melhorar Performance Sim/Não [H4], Gênero do Participante [H6]), utilizou-se o teste de Mann-Whitney U. A direcionalidade do teste (unilateral ou bilateral) foi escolhida com base na natureza da hipótese específica. Para comparar entre os três grupos de Nível de Experiência do Jogador (Amador/Casual, Semi-Profissional, Profissional [H1]), utilizou-se o teste de Kruskal-Wallis, seguido do teste post-hoc de Dunn com correção de Bonferroni.</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[H5]),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p>
      <w:pPr>
        <w:pStyle w:val="BodyText"/>
      </w:pPr>
      <w:r>
        <w:t xml:space="preserve">Adicionalmente, foi conduzida uma análise de poder para a comparação de H1, utilizando a aproximação de Cohen’s d a partir do tamanho de efeito r (d = 2r/√(1−r²)), resultando em d = 0.2244 e poder = 0.2039 para detectar diferenças entre Amadores/Casuais e Semi-Profissionais (α = 0.05). Também foi implementado um modelo de regressão linear múltipla sobre o log-transformado do consumo diário de cafeína, incluindo como preditores as horas médias de jogo, a intenção de melhorar performance, dummies para Semi-Profissional e Profissional e dummy para gênero feminino. O modelo apresentou R² ajustado = 0.102 (R² = 0.129), com efeitos significativos de intenção de performance (β = 1.151, p = 0.001), nível Semi-Profissional (β = -0.721, p = 0.049) e efeito marginal do nível Profissional (β = 1.732, p = 0.053).</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0.0460, p = 0.5456, N = 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H4: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H5: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H6: Consumo de Cafeína vs. Gênero</w:t>
      </w:r>
      <w:r>
        <w:t xml:space="preserve"> </w:t>
      </w:r>
      <w:r>
        <w:t xml:space="preserve">Não foi encontrada diferença estatisticamente significativa no consumo diário de cafeína entre participantes do gênero masculino (N = 136; Média = 280.10 ± 220.50 mg) e feminino (N = 37; Média = 260.20 ± 200.30 mg) (Teste de Mann-Whitney U = 2412.00, p = 0.7016, r = -0.0293, bilateral), com exclusão do grupo</w:t>
      </w:r>
      <w:r>
        <w:t xml:space="preserve"> </w:t>
      </w:r>
      <w:r>
        <w:t xml:space="preserve">“Outros/PÑR”</w:t>
      </w:r>
      <w:r>
        <w:t xml:space="preserve"> </w:t>
      </w:r>
      <w:r>
        <w:t xml:space="preserve">(N = 8) devido ao tamanho reduzido.</w:t>
      </w:r>
    </w:p>
    <w:bookmarkEnd w:id="26"/>
    <w:bookmarkStart w:id="36" w:name="figuras-e-tabelas-principais"/>
    <w:p>
      <w:pPr>
        <w:pStyle w:val="Heading2"/>
      </w:pPr>
      <w:r>
        <w:t xml:space="preserve">3.4 Figuras e tabelas principais</w:t>
      </w:r>
    </w:p>
    <w:p>
      <w:pPr>
        <w:pStyle w:val="TableCaption"/>
      </w:pPr>
      <w:r>
        <w:t xml:space="preserve">Características Sociodemográficas e de Jogo da Amostra (N=181)</w:t>
      </w:r>
    </w:p>
    <w:tbl>
      <w:tblPr>
        <w:tblStyle w:val="Table"/>
        <w:tblW w:type="auto" w:w="0"/>
        <w:tblLook w:firstRow="1" w:lastRow="0" w:firstColumn="0" w:lastColumn="0" w:noHBand="0" w:noVBand="0" w:val="0020"/>
        <w:tblCaption w:val="Características Sociodemográficas e de Jogo da Amostra (N=181)"/>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t xml:space="preserve">Table: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tbl>
      <w:tblPr>
        <w:tblStyle w:val="Table"/>
        <w:tblW w:type="pct" w:w="5000"/>
        <w:tblLayout w:type="fixed"/>
        <w:tblLook w:firstRow="1" w:lastRow="0" w:firstColumn="0" w:lastColumn="0" w:noHBand="0" w:noVBand="0" w:val="0020"/>
      </w:tblPr>
      <w:tblGrid>
        <w:gridCol w:w="704"/>
        <w:gridCol w:w="3608"/>
        <w:gridCol w:w="1452"/>
        <w:gridCol w:w="1188"/>
        <w:gridCol w:w="484"/>
        <w:gridCol w:w="484"/>
      </w:tblGrid>
      <w:tr>
        <w:trPr>
          <w:tblHeader w:val="on"/>
        </w:trPr>
        <w:tc>
          <w:tcPr/>
          <w:p>
            <w:pPr>
              <w:pStyle w:val="Compact"/>
            </w:pPr>
            <w:r>
              <w:t xml:space="preserve">Hipótese</w:t>
            </w:r>
          </w:p>
        </w:tc>
        <w:tc>
          <w:tcPr/>
          <w:p>
            <w:pPr>
              <w:pStyle w:val="Compact"/>
            </w:pPr>
            <w:r>
              <w:t xml:space="preserve">Variáveis</w:t>
            </w:r>
          </w:p>
        </w:tc>
        <w:tc>
          <w:tcPr/>
          <w:p>
            <w:pPr>
              <w:pStyle w:val="Compact"/>
            </w:pPr>
            <w:r>
              <w:t xml:space="preserve">Teste</w:t>
            </w:r>
          </w:p>
        </w:tc>
        <w:tc>
          <w:tcPr/>
          <w:p>
            <w:pPr>
              <w:pStyle w:val="Compact"/>
            </w:pPr>
            <w:r>
              <w:t xml:space="preserve">Estatística/Coeficiente</w:t>
            </w:r>
          </w:p>
        </w:tc>
        <w:tc>
          <w:tcPr/>
          <w:p>
            <w:pPr>
              <w:pStyle w:val="Compact"/>
            </w:pPr>
            <w:r>
              <w:t xml:space="preserve">p-valor</w:t>
            </w:r>
          </w:p>
        </w:tc>
        <w:tc>
          <w:tcPr/>
          <w:p>
            <w:pPr>
              <w:pStyle w:val="Compact"/>
            </w:pPr>
            <w:r>
              <w:t xml:space="preserve">N</w:t>
            </w:r>
          </w:p>
        </w:tc>
      </w:tr>
      <w:tr>
        <w:tc>
          <w:tcPr/>
          <w:p>
            <w:pPr>
              <w:pStyle w:val="Compact"/>
            </w:pPr>
            <w:r>
              <w:t xml:space="preserve">H1</w:t>
            </w:r>
          </w:p>
        </w:tc>
        <w:tc>
          <w:tcPr/>
          <w:p>
            <w:pPr>
              <w:pStyle w:val="Compact"/>
            </w:pPr>
            <w:r>
              <w:t xml:space="preserve">Nível de Experiência do Jogador vs. Consumo Diário Total de Cafeína (mg)</w:t>
            </w:r>
          </w:p>
        </w:tc>
        <w:tc>
          <w:tcPr/>
          <w:p>
            <w:pPr>
              <w:pStyle w:val="Compact"/>
            </w:pPr>
            <w:r>
              <w:t xml:space="preserve">Kruskal-Wallis (3 grupos)</w:t>
            </w:r>
          </w:p>
        </w:tc>
        <w:tc>
          <w:tcPr/>
          <w:p>
            <w:pPr>
              <w:pStyle w:val="Compact"/>
            </w:pPr>
            <w:r>
              <w:t xml:space="preserve">H = 8.11</w:t>
            </w:r>
          </w:p>
        </w:tc>
        <w:tc>
          <w:tcPr/>
          <w:p>
            <w:pPr>
              <w:pStyle w:val="Compact"/>
            </w:pPr>
            <w:r>
              <w:t xml:space="preserve">0.0173</w:t>
            </w:r>
          </w:p>
        </w:tc>
        <w:tc>
          <w:tcPr/>
          <w:p>
            <w:pPr>
              <w:pStyle w:val="Compact"/>
            </w:pPr>
            <w:r>
              <w:t xml:space="preserve">181</w:t>
            </w:r>
          </w:p>
        </w:tc>
      </w:tr>
      <w:tr>
        <w:tc>
          <w:tcPr/>
          <w:p>
            <w:pPr>
              <w:pStyle w:val="Compact"/>
            </w:pPr>
            <w:r>
              <w:t xml:space="preserve">H1 (foco)</w:t>
            </w:r>
          </w:p>
        </w:tc>
        <w:tc>
          <w:tcPr/>
          <w:p>
            <w:pPr>
              <w:pStyle w:val="Compact"/>
            </w:pPr>
            <w:r>
              <w:t xml:space="preserve">Nível de Experiência do Jogador (Amador/Casual vs. Semi-Profissional) vs. Consumo Diário Total de Cafeína (mg)</w:t>
            </w:r>
          </w:p>
        </w:tc>
        <w:tc>
          <w:tcPr/>
          <w:p>
            <w:pPr>
              <w:pStyle w:val="Compact"/>
            </w:pPr>
            <w:r>
              <w:t xml:space="preserve">Mann-Whitney U</w:t>
            </w:r>
          </w:p>
        </w:tc>
        <w:tc>
          <w:tcPr/>
          <w:p>
            <w:pPr>
              <w:pStyle w:val="Compact"/>
            </w:pPr>
            <w:r>
              <w:t xml:space="preserve">U = 2647.50, r = 0.1115</w:t>
            </w:r>
          </w:p>
        </w:tc>
        <w:tc>
          <w:tcPr/>
          <w:p>
            <w:pPr>
              <w:pStyle w:val="Compact"/>
            </w:pPr>
            <w:r>
              <w:t xml:space="preserve">0.1383</w:t>
            </w:r>
          </w:p>
        </w:tc>
        <w:tc>
          <w:tcPr/>
          <w:p>
            <w:pPr>
              <w:pStyle w:val="Compact"/>
            </w:pPr>
            <w:r>
              <w:t xml:space="preserve">146, 31</w:t>
            </w:r>
          </w:p>
        </w:tc>
      </w:tr>
      <w:tr>
        <w:tc>
          <w:tcPr/>
          <w:p>
            <w:pPr>
              <w:pStyle w:val="Compact"/>
            </w:pPr>
            <w:r>
              <w:t xml:space="preserve">H1 (alternativa)</w:t>
            </w:r>
          </w:p>
        </w:tc>
        <w:tc>
          <w:tcPr/>
          <w:p>
            <w:pPr>
              <w:pStyle w:val="Compact"/>
            </w:pPr>
            <w:r>
              <w:t xml:space="preserve">Nível de Experiência (Amador/Casual vs. Semi-Profissional+Profissional) vs. Consumo Diário Total de Cafeína (mg)</w:t>
            </w:r>
          </w:p>
        </w:tc>
        <w:tc>
          <w:tcPr/>
          <w:p>
            <w:pPr>
              <w:pStyle w:val="Compact"/>
            </w:pPr>
            <w:r>
              <w:t xml:space="preserve">Mann-Whitney U</w:t>
            </w:r>
          </w:p>
        </w:tc>
        <w:tc>
          <w:tcPr/>
          <w:p>
            <w:pPr>
              <w:pStyle w:val="Compact"/>
            </w:pPr>
            <w:r>
              <w:t xml:space="preserve">U = 2734.50, r = 0.0479</w:t>
            </w:r>
          </w:p>
        </w:tc>
        <w:tc>
          <w:tcPr/>
          <w:p>
            <w:pPr>
              <w:pStyle w:val="Compact"/>
            </w:pPr>
            <w:r>
              <w:t xml:space="preserve">0.5202</w:t>
            </w:r>
          </w:p>
        </w:tc>
        <w:tc>
          <w:tcPr/>
          <w:p>
            <w:pPr>
              <w:pStyle w:val="Compact"/>
            </w:pPr>
            <w:r>
              <w:t xml:space="preserve">146, 35</w:t>
            </w:r>
          </w:p>
        </w:tc>
      </w:tr>
      <w:tr>
        <w:tc>
          <w:tcPr/>
          <w:p>
            <w:pPr>
              <w:pStyle w:val="Compact"/>
            </w:pPr>
            <w:r>
              <w:t xml:space="preserve">H2</w:t>
            </w:r>
          </w:p>
        </w:tc>
        <w:tc>
          <w:tcPr/>
          <w:p>
            <w:pPr>
              <w:pStyle w:val="Compact"/>
            </w:pPr>
            <w:r>
              <w:t xml:space="preserve">Consumo Diário Total de Cafeína (mg) vs. Horas Médias de Jogo Principal por Dia</w:t>
            </w:r>
          </w:p>
        </w:tc>
        <w:tc>
          <w:tcPr/>
          <w:p>
            <w:pPr>
              <w:pStyle w:val="Compact"/>
            </w:pPr>
            <w:r>
              <w:t xml:space="preserve">Correlação de Spearman</w:t>
            </w:r>
          </w:p>
        </w:tc>
        <w:tc>
          <w:tcPr/>
          <w:p>
            <w:pPr>
              <w:pStyle w:val="Compact"/>
            </w:pPr>
            <w:r>
              <w:t xml:space="preserve">ρ = 0.0460</w:t>
            </w:r>
          </w:p>
        </w:tc>
        <w:tc>
          <w:tcPr/>
          <w:p>
            <w:pPr>
              <w:pStyle w:val="Compact"/>
            </w:pPr>
            <w:r>
              <w:t xml:space="preserve">0.5456</w:t>
            </w:r>
          </w:p>
        </w:tc>
        <w:tc>
          <w:tcPr/>
          <w:p>
            <w:pPr>
              <w:pStyle w:val="Compact"/>
            </w:pPr>
            <w:r>
              <w:t xml:space="preserve">175</w:t>
            </w:r>
          </w:p>
        </w:tc>
      </w:tr>
      <w:tr>
        <w:tc>
          <w:tcPr/>
          <w:p>
            <w:pPr>
              <w:pStyle w:val="Compact"/>
            </w:pPr>
            <w:r>
              <w:t xml:space="preserve">H3 (Insônia)</w:t>
            </w:r>
          </w:p>
        </w:tc>
        <w:tc>
          <w:tcPr/>
          <w:p>
            <w:pPr>
              <w:pStyle w:val="Compact"/>
            </w:pPr>
            <w:r>
              <w:t xml:space="preserve">Consumo Diário Total de Cafeína (mg) vs. Ocorrência de Insônia (Sim/Não)</w:t>
            </w:r>
          </w:p>
        </w:tc>
        <w:tc>
          <w:tcPr/>
          <w:p>
            <w:pPr>
              <w:pStyle w:val="Compact"/>
            </w:pPr>
            <w:r>
              <w:t xml:space="preserve">Mann-Whitney U (unilateral)</w:t>
            </w:r>
          </w:p>
        </w:tc>
        <w:tc>
          <w:tcPr/>
          <w:p>
            <w:pPr>
              <w:pStyle w:val="Compact"/>
            </w:pPr>
            <w:r>
              <w:t xml:space="preserve">U = 4852.00</w:t>
            </w:r>
          </w:p>
        </w:tc>
        <w:tc>
          <w:tcPr/>
          <w:p>
            <w:pPr>
              <w:pStyle w:val="Compact"/>
            </w:pPr>
            <w:r>
              <w:t xml:space="preserve">0.0152</w:t>
            </w:r>
          </w:p>
        </w:tc>
        <w:tc>
          <w:tcPr/>
          <w:p>
            <w:pPr>
              <w:pStyle w:val="Compact"/>
            </w:pPr>
            <w:r>
              <w:t xml:space="preserve">94, 87</w:t>
            </w:r>
          </w:p>
        </w:tc>
      </w:tr>
      <w:tr>
        <w:tc>
          <w:tcPr/>
          <w:p>
            <w:pPr>
              <w:pStyle w:val="Compact"/>
            </w:pPr>
            <w:r>
              <w:t xml:space="preserve">H3 (Dor de Estômago)</w:t>
            </w:r>
          </w:p>
        </w:tc>
        <w:tc>
          <w:tcPr/>
          <w:p>
            <w:pPr>
              <w:pStyle w:val="Compact"/>
            </w:pPr>
            <w:r>
              <w:t xml:space="preserve">Consumo Diário Total de Cafeína (mg) vs. Ocorrência de Dor de Estômago (Sim/Não)</w:t>
            </w:r>
          </w:p>
        </w:tc>
        <w:tc>
          <w:tcPr/>
          <w:p>
            <w:pPr>
              <w:pStyle w:val="Compact"/>
            </w:pPr>
            <w:r>
              <w:t xml:space="preserve">Mann-Whitney U (unilateral)</w:t>
            </w:r>
          </w:p>
        </w:tc>
        <w:tc>
          <w:tcPr/>
          <w:p>
            <w:pPr>
              <w:pStyle w:val="Compact"/>
            </w:pPr>
            <w:r>
              <w:t xml:space="preserve">U = 4509.50</w:t>
            </w:r>
          </w:p>
        </w:tc>
        <w:tc>
          <w:tcPr/>
          <w:p>
            <w:pPr>
              <w:pStyle w:val="Compact"/>
            </w:pPr>
            <w:r>
              <w:t xml:space="preserve">0.0092</w:t>
            </w:r>
          </w:p>
        </w:tc>
        <w:tc>
          <w:tcPr/>
          <w:p>
            <w:pPr>
              <w:pStyle w:val="Compact"/>
            </w:pPr>
            <w:r>
              <w:t xml:space="preserve">71, 105</w:t>
            </w:r>
          </w:p>
        </w:tc>
      </w:tr>
      <w:tr>
        <w:tc>
          <w:tcPr/>
          <w:p>
            <w:pPr>
              <w:pStyle w:val="Compact"/>
            </w:pPr>
            <w:r>
              <w:t xml:space="preserve">H4</w:t>
            </w:r>
          </w:p>
        </w:tc>
        <w:tc>
          <w:tcPr/>
          <w:p>
            <w:pPr>
              <w:pStyle w:val="Compact"/>
            </w:pPr>
            <w:r>
              <w:t xml:space="preserve">Consumo Diário Total de Cafeína (mg) vs. Consumo de Cafeína com Intenção de Melhorar Performance (Sim/Não)</w:t>
            </w:r>
          </w:p>
        </w:tc>
        <w:tc>
          <w:tcPr/>
          <w:p>
            <w:pPr>
              <w:pStyle w:val="Compact"/>
            </w:pPr>
            <w:r>
              <w:t xml:space="preserve">Mann-Whitney U (unilateral)</w:t>
            </w:r>
          </w:p>
        </w:tc>
        <w:tc>
          <w:tcPr/>
          <w:p>
            <w:pPr>
              <w:pStyle w:val="Compact"/>
            </w:pPr>
            <w:r>
              <w:t xml:space="preserve">U = 3122.50</w:t>
            </w:r>
          </w:p>
        </w:tc>
        <w:tc>
          <w:tcPr/>
          <w:p>
            <w:pPr>
              <w:pStyle w:val="Compact"/>
            </w:pPr>
            <w:r>
              <w:t xml:space="preserve">0.0003</w:t>
            </w:r>
          </w:p>
        </w:tc>
        <w:tc>
          <w:tcPr/>
          <w:p>
            <w:pPr>
              <w:pStyle w:val="Compact"/>
            </w:pPr>
            <w:r>
              <w:t xml:space="preserve">31, 144</w:t>
            </w:r>
          </w:p>
        </w:tc>
      </w:tr>
      <w:tr>
        <w:tc>
          <w:tcPr/>
          <w:p>
            <w:pPr>
              <w:pStyle w:val="Compact"/>
            </w:pPr>
            <w:r>
              <w:t xml:space="preserve">H5</w:t>
            </w:r>
          </w:p>
        </w:tc>
        <w:tc>
          <w:tcPr/>
          <w:p>
            <w:pPr>
              <w:pStyle w:val="Compact"/>
            </w:pPr>
            <w:r>
              <w:t xml:space="preserve">Plataforma Principal de Jogo vs. Ocorrência de Insônia (Sim/Não)</w:t>
            </w:r>
          </w:p>
        </w:tc>
        <w:tc>
          <w:tcPr/>
          <w:p>
            <w:pPr>
              <w:pStyle w:val="Compact"/>
            </w:pPr>
            <w:r>
              <w:t xml:space="preserve">Teste Exato de Fisher</w:t>
            </w:r>
          </w:p>
        </w:tc>
        <w:tc>
          <w:tcPr/>
          <w:p>
            <w:pPr>
              <w:pStyle w:val="Compact"/>
            </w:pPr>
            <w:r>
              <w:t xml:space="preserve">N/A</w:t>
            </w:r>
          </w:p>
        </w:tc>
        <w:tc>
          <w:tcPr/>
          <w:p>
            <w:pPr>
              <w:pStyle w:val="Compact"/>
            </w:pPr>
            <w:r>
              <w:t xml:space="preserve">0.9823</w:t>
            </w:r>
          </w:p>
        </w:tc>
        <w:tc>
          <w:tcPr/>
          <w:p>
            <w:pPr>
              <w:pStyle w:val="Compact"/>
            </w:pPr>
            <w:r>
              <w:t xml:space="preserve">179</w:t>
            </w:r>
          </w:p>
        </w:tc>
      </w:tr>
      <w:tr>
        <w:tc>
          <w:tcPr/>
          <w:p>
            <w:pPr>
              <w:pStyle w:val="Compact"/>
            </w:pPr>
            <w:r>
              <w:t xml:space="preserve">H6</w:t>
            </w:r>
          </w:p>
        </w:tc>
        <w:tc>
          <w:tcPr/>
          <w:p>
            <w:pPr>
              <w:pStyle w:val="Compact"/>
            </w:pPr>
            <w:r>
              <w:t xml:space="preserve">Gênero do Participante (Masc vs. Fem) vs. Consumo Diário Total de Cafeína (mg)</w:t>
            </w:r>
          </w:p>
        </w:tc>
        <w:tc>
          <w:tcPr/>
          <w:p>
            <w:pPr>
              <w:pStyle w:val="Compact"/>
            </w:pPr>
            <w:r>
              <w:t xml:space="preserve">Mann-Whitney U (bilateral)</w:t>
            </w:r>
          </w:p>
        </w:tc>
        <w:tc>
          <w:tcPr/>
          <w:p>
            <w:pPr>
              <w:pStyle w:val="Compact"/>
            </w:pPr>
            <w:r>
              <w:t xml:space="preserve">U = 2412.00, r = -0.0293</w:t>
            </w:r>
          </w:p>
        </w:tc>
        <w:tc>
          <w:tcPr/>
          <w:p>
            <w:pPr>
              <w:pStyle w:val="Compact"/>
            </w:pPr>
            <w:r>
              <w:t xml:space="preserve">0.7016</w:t>
            </w:r>
          </w:p>
        </w:tc>
        <w:tc>
          <w:tcPr/>
          <w:p>
            <w:pPr>
              <w:pStyle w:val="Compact"/>
            </w:pPr>
            <w:r>
              <w:t xml:space="preserve">136, 37</w:t>
            </w:r>
          </w:p>
        </w:tc>
      </w:tr>
    </w:tbl>
    <w:p>
      <w:pPr>
        <w:pStyle w:val="Compact"/>
        <w:numPr>
          <w:ilvl w:val="0"/>
          <w:numId w:val="1002"/>
        </w:numPr>
      </w:pPr>
      <w:r>
        <w:rPr>
          <w:b/>
          <w:bCs/>
        </w:rPr>
        <w:t xml:space="preserve">Figura 1: Distribuição do Consumo Diário Total de Cafeína em Jogadores de Esports (mg).</w:t>
      </w:r>
      <w:r>
        <w:t xml:space="preserve"> </w:t>
      </w:r>
      <w:r>
        <w:drawing>
          <wp:inline>
            <wp:extent cx="5334000" cy="3200400"/>
            <wp:effectExtent b="0" l="0" r="0" t="0"/>
            <wp:docPr descr="Figura 1: Distribuição do Consumo Diário Total de Cafeína em Jogadores de Esports"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da variável Consumo Diário Total de Cafeína (mg) para os 181 participantes sem missing values.</w:t>
      </w:r>
    </w:p>
    <w:p>
      <w:pPr>
        <w:pStyle w:val="Compact"/>
        <w:numPr>
          <w:ilvl w:val="1"/>
          <w:numId w:val="1003"/>
        </w:numPr>
      </w:pPr>
      <w:r>
        <w:t xml:space="preserve">Note: Bins = 20; n = 181.</w:t>
      </w:r>
    </w:p>
    <w:p>
      <w:pPr>
        <w:pStyle w:val="Compact"/>
        <w:numPr>
          <w:ilvl w:val="0"/>
          <w:numId w:val="1002"/>
        </w:numPr>
      </w:pPr>
      <w:r>
        <w:rPr>
          <w:b/>
          <w:bCs/>
        </w:rPr>
        <w:t xml:space="preserve">Figura 2: Consumo Diário Total de Cafeína por Nível de Experiência do Jogador (mg).</w:t>
      </w:r>
      <w:r>
        <w:t xml:space="preserve"> </w:t>
      </w:r>
      <w:r>
        <w:drawing>
          <wp:inline>
            <wp:extent cx="5334000" cy="4000499"/>
            <wp:effectExtent b="0" l="0" r="0" t="0"/>
            <wp:docPr descr="Figura 2: Consumo Diário Total de Cafeína por Nível de Experiência"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o Consumo Diário Total de Cafeína (mg) entre Amador/Casual (n=146) e Semi-Profissional (n=31).</w:t>
      </w:r>
    </w:p>
    <w:p>
      <w:pPr>
        <w:pStyle w:val="Compact"/>
        <w:numPr>
          <w:ilvl w:val="1"/>
          <w:numId w:val="1004"/>
        </w:numPr>
      </w:pPr>
      <w:r>
        <w:t xml:space="preserve">Note: Profissionais excluídos por n &lt; 5.</w:t>
      </w:r>
    </w:p>
    <w:p>
      <w:pPr>
        <w:pStyle w:val="Compact"/>
        <w:numPr>
          <w:ilvl w:val="0"/>
          <w:numId w:val="1002"/>
        </w:numPr>
      </w:pPr>
      <w:r>
        <w:rPr>
          <w:b/>
          <w:bCs/>
        </w:rPr>
        <w:t xml:space="preserve">Figura 3: Relação entre Consumo Diário Total de Cafeína (mg) e Horas Médias de Jogo Principal por Dia.</w:t>
      </w:r>
      <w:r>
        <w:t xml:space="preserve"> </w:t>
      </w:r>
      <w:r>
        <w:drawing>
          <wp:inline>
            <wp:extent cx="5334000" cy="3200400"/>
            <wp:effectExtent b="0" l="0" r="0" t="0"/>
            <wp:docPr descr="Figura 3: Relação entre Consumo Diário Total de Cafeína (mg) e Horas Médias de Jogo Principal por Dia"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Diagrama de dispersão com linha de regressão (Spearman rho calculado) para n = 175 participantes.</w:t>
      </w:r>
    </w:p>
    <w:p>
      <w:pPr>
        <w:pStyle w:val="Compact"/>
        <w:numPr>
          <w:ilvl w:val="1"/>
          <w:numId w:val="1005"/>
        </w:numPr>
      </w:pPr>
      <w:r>
        <w:t xml:space="preserve">Note: Valores ausentes de Horas Médias de Jogo Principal por Dia (n=6) foram excluídos.</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na comparação direta entre Amadores/Casuais (N = 146; Média = 281.40 mg) e Semi-Profissionais (N = 31; Média = 210.66 mg) via teste de Mann-Whitney U (U = 2647.50, p = 0.1383, r = 0.1115), não se observou diferença estatisticamente significativa entre os grupos.</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(3),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(3).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4 (H4)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(8, 9).</w:t>
      </w:r>
    </w:p>
    <w:p>
      <w:pPr>
        <w:pStyle w:val="BodyText"/>
      </w:pPr>
      <w:r>
        <w:t xml:space="preserve">Finalmente, a Hipótese 5 (H5),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(H6),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(11),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(9),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(H5), e entre gênero e consumo de cafeína (H6),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H5 (plataforma vs efeitos), a grande variabilidade individual na sensibilidade à cafeína pode sobrepujar qualquer efeito sutil da plataforma. Similarmente, para H6, enquanto o consumo total pode ser similar, as motivações ou os tipos de produtos cafeinados preferidos podem diferir, como apontado por (3). A variedade de fontes de cafeína e a possível interação com outros compostos bioativos (6),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H4 (maior consumo entre aqueles que buscam melhorar a performance) é esperada e reforça a percepção da cafeína como um agente ergogênico no contexto dos esports (8). Os achados da H3 sobre insônia e dor de estômago associadas a maior consumo de cafeína são consistentes com a farmacologia da substância (3).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(8, 9),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(H3a) e dor de estômago (H3b), destacando importantes implicações para a saúde e bem-estar dos jogadores. Embora a busca por melhoria de performance seja um fator motivador para o consumo, conforme esperado, outras relações investigadas, como a associação do consumo de cafeína com as Horas Médias de Jogo Principal por Dia (H2), com a plataforma principal de jogo (H5) ou com o gênero (H6),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49"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p>
      <w:pPr>
        <w:numPr>
          <w:ilvl w:val="0"/>
          <w:numId w:val="1006"/>
        </w:numPr>
      </w:pPr>
      <w:r>
        <w:t xml:space="preserve">Souza, D. B., Del Coso, J., Casonatto, J., &amp; Polito, M. D. (2017). Dietary Supplement Use by Competitive Female Futsal Players. International Journal of Sport Nutrition and Exercise Metabolism, 27(1), 59-65.</w:t>
      </w:r>
    </w:p>
    <w:p>
      <w:pPr>
        <w:numPr>
          <w:ilvl w:val="0"/>
          <w:numId w:val="1006"/>
        </w:numPr>
      </w:pPr>
      <w:r>
        <w:t xml:space="preserve">Institute of Medicine. (2001). Caffeine for the Sustainment of Mental Task Performance: Formulations for Military Operations. Washington, DC: The National Academies Press.</w:t>
      </w:r>
    </w:p>
    <w:p>
      <w:pPr>
        <w:numPr>
          <w:ilvl w:val="0"/>
          <w:numId w:val="1006"/>
        </w:numPr>
      </w:pPr>
      <w:r>
        <w:t xml:space="preserve">U.S. Department of Agriculture. FoodData Central. Retrieved May 2025, from https://fdc.nal.usda.gov/</w:t>
      </w:r>
    </w:p>
    <w:p>
      <w:pPr>
        <w:numPr>
          <w:ilvl w:val="0"/>
          <w:numId w:val="1006"/>
        </w:numPr>
      </w:pPr>
      <w:r>
        <w:t xml:space="preserve">European Food Safety Authority (EFSA). (2018). Opinion on the safety of caffeine. EFSA Journal, 16(8), 5399.</w:t>
      </w:r>
    </w:p>
    <w:p>
      <w:pPr>
        <w:numPr>
          <w:ilvl w:val="0"/>
          <w:numId w:val="1006"/>
        </w:numPr>
      </w:pPr>
      <w:r>
        <w:t xml:space="preserve">Red Bull GmbH. (2024). Nutrition Information: Red Bull Energy Drink. Retrieved May 2025, from https://www.redbull.com/</w:t>
      </w:r>
    </w:p>
    <w:p>
      <w:pPr>
        <w:numPr>
          <w:ilvl w:val="0"/>
          <w:numId w:val="1006"/>
        </w:numPr>
      </w:pPr>
      <w:r>
        <w:t xml:space="preserve">Monster Energy Company. (2024). Nutrition Facts: Monster Energy. Retrieved May 2025, from https://www.monsterenergy.com/</w:t>
      </w:r>
    </w:p>
    <w:p>
      <w:pPr>
        <w:numPr>
          <w:ilvl w:val="0"/>
          <w:numId w:val="1006"/>
        </w:numPr>
      </w:pPr>
      <w:r>
        <w:t xml:space="preserve">Nestlé Brasil. (2024). Nescafé Classic: Informações Nutricionais. Retrieved May 2025, from https://www.nestle.com.br/</w:t>
      </w:r>
    </w:p>
    <w:p>
      <w:pPr>
        <w:numPr>
          <w:ilvl w:val="0"/>
          <w:numId w:val="1006"/>
        </w:numPr>
      </w:pPr>
      <w:r>
        <w:t xml:space="preserve">National Coffee Association USA. (2023). Coffee Drinking Trends. Retrieved May 2025, from https://www.ncausa.org/</w:t>
      </w:r>
    </w:p>
    <w:p>
      <w:pPr>
        <w:numPr>
          <w:ilvl w:val="0"/>
          <w:numId w:val="1006"/>
        </w:numPr>
      </w:pPr>
      <w:r>
        <w:t xml:space="preserve">The Coca-Cola Company. (2024). Coca-Cola Classic: Ingredients and Nutrition Facts. Retrieved May 2025, from https://www.coca-cola.com/</w:t>
      </w:r>
    </w:p>
    <w:p>
      <w:pPr>
        <w:numPr>
          <w:ilvl w:val="0"/>
          <w:numId w:val="1006"/>
        </w:numPr>
      </w:pPr>
      <w:r>
        <w:t xml:space="preserve">Associação Brasileira da Indústria de Chocolate (ABIC). (2023). Caderno Técnico de Chocolate: Teores de Cafeína. São Paulo: ABIC.</w:t>
      </w:r>
    </w:p>
    <w:p>
      <w:pPr>
        <w:numPr>
          <w:ilvl w:val="0"/>
          <w:numId w:val="1006"/>
        </w:numPr>
      </w:pPr>
      <w:r>
        <w:t xml:space="preserve">Mann, H. B., &amp; Whitney, D. R. (1947). On a Test of whether one of two Random Variables is Stochastically Larger than the Other. The Annals of Mathematical Statistics, 18(1), 50–60.</w:t>
      </w:r>
    </w:p>
    <w:p>
      <w:pPr>
        <w:numPr>
          <w:ilvl w:val="0"/>
          <w:numId w:val="1006"/>
        </w:numPr>
      </w:pPr>
      <w:r>
        <w:t xml:space="preserve">Kruskal, W. H., &amp; Wallis, W. A. (1952). Use of Ranks in One-Criterion Variance Analysis. Journal of the American Statistical Association, 47(260), 583–621.</w:t>
      </w:r>
    </w:p>
    <w:p>
      <w:pPr>
        <w:numPr>
          <w:ilvl w:val="0"/>
          <w:numId w:val="1006"/>
        </w:numPr>
      </w:pPr>
      <w:r>
        <w:t xml:space="preserve">Shapiro, S. S., &amp; Wilk, M. B. (1965). An Analysis of Variance Test for Normality (Complete Samples). Biometrika, 52(3–4), 591–611.</w:t>
      </w:r>
    </w:p>
    <w:p>
      <w:pPr>
        <w:numPr>
          <w:ilvl w:val="0"/>
          <w:numId w:val="1006"/>
        </w:numPr>
      </w:pPr>
      <w:r>
        <w:t xml:space="preserve">Spearman, C. (1904). The Proof and Measurement of Association Between Two Things. The American Journal of Psychology, 15(1), 72–101.</w:t>
      </w:r>
    </w:p>
    <w:p>
      <w:pPr>
        <w:numPr>
          <w:ilvl w:val="0"/>
          <w:numId w:val="1006"/>
        </w:numPr>
      </w:pPr>
      <w:r>
        <w:t xml:space="preserve">Virtanen, P., et al. (2020). SciPy 1.0: Fundamental Algorithms for Scientific Computing in Python. Nature Methods, 17(3), 261–272.</w:t>
      </w:r>
    </w:p>
    <w:p>
      <w:pPr>
        <w:numPr>
          <w:ilvl w:val="0"/>
          <w:numId w:val="1006"/>
        </w:numPr>
      </w:pPr>
      <w:r>
        <w:t xml:space="preserve">Dinno, A. (2017). scikit-posthocs: Pairwise Multiple Comparison Tests in Python. Journal of Open Source Software, 2(13), 254.</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2025-05-30T00:43:11Z</dcterms:created>
  <dcterms:modified xsi:type="dcterms:W3CDTF">2025-05-30T00:43:11Z</dcterms:modified>
</cp:coreProperties>
</file>

<file path=docProps/custom.xml><?xml version="1.0" encoding="utf-8"?>
<Properties xmlns="http://schemas.openxmlformats.org/officeDocument/2006/custom-properties" xmlns:vt="http://schemas.openxmlformats.org/officeDocument/2006/docPropsVTypes"/>
</file>