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1218"/>
        <w:gridCol w:w="1340"/>
        <w:gridCol w:w="852"/>
        <w:gridCol w:w="3046"/>
        <w:gridCol w:w="1096"/>
        <w:gridCol w:w="365"/>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(Amador/Casual), 31 (Semi-Profissional)</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(Com Insônia), 87 (Sem Insônia)</w:t>
            </w:r>
          </w:p>
        </w:tc>
      </w:tr>
      <w:tr>
        <w:tc>
          <w:tcPr/>
          <w:p>
            <w:pPr>
              <w:pStyle w:val="Compact"/>
            </w:pPr>
            <w:r>
              <w:t xml:space="preserve">H3</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(Com Dor Estômago), 105 (Sem Dor Estômago)</w:t>
            </w:r>
          </w:p>
        </w:tc>
      </w:tr>
      <w:tr>
        <w:tc>
          <w:tcPr/>
          <w:p>
            <w:pPr>
              <w:pStyle w:val="Compact"/>
            </w:pPr>
            <w:r>
              <w:t xml:space="preserve">H7</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(Sim Performance), 144 (Não Performance)</w:t>
            </w:r>
          </w:p>
        </w:tc>
      </w:tr>
      <w:tr>
        <w:tc>
          <w:tcPr/>
          <w:p>
            <w:pPr>
              <w:pStyle w:val="Compact"/>
            </w:pPr>
            <w:r>
              <w:t xml:space="preserve">H6</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 (Total Insônia vs Plataforma)</w:t>
            </w:r>
          </w:p>
        </w:tc>
      </w:tr>
      <w:tr>
        <w:tc>
          <w:tcPr/>
          <w:p>
            <w:pPr>
              <w:pStyle w:val="Compact"/>
            </w:pPr>
            <w:r>
              <w:t xml:space="preserve">H8</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(Masc), 37 (Fem)</w:t>
            </w:r>
          </w:p>
        </w:tc>
      </w:tr>
    </w:tbl>
    <w:p>
      <w:pPr>
        <w:pStyle w:val="Compact"/>
        <w:numPr>
          <w:ilvl w:val="0"/>
          <w:numId w:val="1002"/>
        </w:numPr>
      </w:pPr>
      <w:r>
        <w:rPr>
          <w:b/>
          <w:bCs/>
        </w:rPr>
        <w:t xml:space="preserve">Figura 1: Distribuição do Consumo Diário de Cafeína (Consumo Diário Total de Cafeína (mg)).</w:t>
      </w:r>
      <w:r>
        <w:t xml:space="preserve"> </w:t>
      </w:r>
      <w:r>
        <w:drawing>
          <wp:inline>
            <wp:extent cx="5334000" cy="3200400"/>
            <wp:effectExtent b="0" l="0" r="0" t="0"/>
            <wp:docPr descr="Figura 1: Distribuição do Consumo Diário de Cafeína (Consumo Diário Total de Cafeína (mg))"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ou boxplot mostrando a distribuição da variável Consumo Diário Total de Cafeína (mg) para a amostra total, evidenciando a assimetria e outliers.</w:t>
      </w:r>
    </w:p>
    <w:p>
      <w:pPr>
        <w:pStyle w:val="Compact"/>
        <w:numPr>
          <w:ilvl w:val="0"/>
          <w:numId w:val="1002"/>
        </w:numPr>
      </w:pPr>
      <w:r>
        <w:rPr>
          <w:b/>
          <w:bCs/>
        </w:rPr>
        <w:t xml:space="preserve">Figura 2: Consumo Diário de Cafeína (Consumo Diário Total de Cafeína (mg)) por Nível de Experiência do Jogador.</w:t>
      </w:r>
      <w:r>
        <w:t xml:space="preserve"> </w:t>
      </w:r>
      <w:r>
        <w:drawing>
          <wp:inline>
            <wp:extent cx="5334000" cy="4000499"/>
            <wp:effectExtent b="0" l="0" r="0" t="0"/>
            <wp:docPr descr="Figura 2: Consumo Diário de Cafeína (Consumo Diário Total de Cafeína (mg)) por Nível de Experiência do Jogador"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Consumo Diário Total de Cafeína (mg) entre os grupos Amador/Casual e Semi-Profissional.</w:t>
      </w:r>
    </w:p>
    <w:p>
      <w:pPr>
        <w:pStyle w:val="Compact"/>
        <w:numPr>
          <w:ilvl w:val="0"/>
          <w:numId w:val="1002"/>
        </w:numPr>
      </w:pPr>
      <w:r>
        <w:rPr>
          <w:b/>
          <w:bCs/>
        </w:rPr>
        <w:t xml:space="preserve">Figura 3: Diagrama de Dispersão - Consumo de Cafeína vs. Horas de Jogo.</w:t>
      </w:r>
      <w:r>
        <w:t xml:space="preserve"> </w:t>
      </w:r>
      <w:r>
        <w:drawing>
          <wp:inline>
            <wp:extent cx="5334000" cy="3200400"/>
            <wp:effectExtent b="0" l="0" r="0" t="0"/>
            <wp:docPr descr="Figura 3: Diagrama de Dispersão -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Scatter plot mostrando a relação entre Consumo Diário Total de Cafeína (mg) e Horas Médias de Jogo Principal por Dia.</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2025-05-29T08:21:53Z</dcterms:created>
  <dcterms:modified xsi:type="dcterms:W3CDTF">2025-05-29T08:21:53Z</dcterms:modified>
</cp:coreProperties>
</file>

<file path=docProps/custom.xml><?xml version="1.0" encoding="utf-8"?>
<Properties xmlns="http://schemas.openxmlformats.org/officeDocument/2006/custom-properties" xmlns:vt="http://schemas.openxmlformats.org/officeDocument/2006/docPropsVTypes"/>
</file>