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Contrariando expectativas, jogadores Amadores/Casuais (281.40 mg) reportaram maior consumo que Semi-Profissionais (210.66 mg; p = 0.0229).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(p = 0.3693).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(Precedence Research, 2023). O Brasil acompanha essa tendência, sendo um dos maiores mercados da América Latina, com uma audiência que ultrapassou 40 milhões de pessoas em 2023 (Forbes, 2024).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(Wu et al., 2024; Rogers et al., 2024).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(Cappelletti et al., 2015).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(Calvo et al., 2021; Guest et al., 2021).</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(Kennedy &amp; Wightman, 2022).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(insônia, dor de estômago, taquicardia, tremores).</w:t>
      </w:r>
      <w:r>
        <w:t xml:space="preserve"> </w:t>
      </w:r>
      <w:r>
        <w:t xml:space="preserve">4.</w:t>
      </w:r>
      <w:r>
        <w:t xml:space="preserve"> </w:t>
      </w:r>
      <w:r>
        <w:rPr>
          <w:b/>
          <w:bCs/>
        </w:rPr>
        <w:t xml:space="preserve">H7:</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H6:</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H8:</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testes estatísticos e, potencialmente,</w:t>
      </w:r>
      <w:r>
        <w:t xml:space="preserve"> </w:t>
      </w:r>
      <w:r>
        <w:rPr>
          <w:rStyle w:val="VerbatimChar"/>
        </w:rPr>
        <w:t xml:space="preserve">scikit-posthocs</w:t>
      </w:r>
      <w:r>
        <w:t xml:space="preserve"> </w:t>
      </w:r>
      <w:r>
        <w:t xml:space="preserve">para testes post-hoc específicos (como Dunn com correção de Bonferroni), e</w:t>
      </w:r>
      <w:r>
        <w:t xml:space="preserve"> </w:t>
      </w:r>
      <w:r>
        <w:rPr>
          <w:rStyle w:val="VerbatimChar"/>
        </w:rPr>
        <w:t xml:space="preserve">statsmodels</w:t>
      </w:r>
      <w:r>
        <w:t xml:space="preserve"> </w:t>
      </w:r>
      <w:r>
        <w:t xml:space="preserve">se necessário.</w:t>
      </w:r>
      <w:r>
        <w:t xml:space="preserve"> </w:t>
      </w:r>
      <w:r>
        <w:t xml:space="preserve">Para comparar o consumo de cafeína (Consumo Diário Total de Cafeína (mg), variável contínua não normalmente distribuída) entre dois grupos independentes (e.g., Ocorrência de Insônia (Sim/Não) [H3], Consumo de Cafeína com Intenção de Melhorar Performance (Sim/Não) [H7], Gênero do Participante [H8]), utilizou-se o teste de Mann-Whitney U. A direcionalidade do teste (unilateral ou bilateral) foi escolhida com base na natureza da hipótese específica, sendo unilateral quando uma direção clara era teoricamente esperada. Para comparar entre os três grupos de Nível de Experiência do Jogador (Amador/Casual, Semi-Profissional, Profissional [H1]), utilizou-se o teste de Kruskal-Wallis, seguido do teste post-hoc de Dunn com correção de Bonferroni para comparações par a par.</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[H6]),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A análise do consumo de cafeína (Consumo Diário Total de Cafeína (mg)) entre os três níveis de jogadores (Amador/Casual: N=146, Média Cafeína = 281.40 ± 203.34 mg; Semi-Profissional: N=31, Média Cafeína = 210.66 ± 215.40 mg; Profissional: N=4, Média Cafeína = 602.09 ± 468.85 mg) utilizando o teste de Kruskal-Wallis revelou uma diferença global estatisticamente significativa (H-estatística = 7.44, p = 0.0242). Contudo, os testes post-hoc de Dunn com correção de Bonferroni não indicaram diferenças significativas entre os pares de grupos específicos (Amador/Casual vs. Semi-Profissional: p = 0.0711; Amador/Casual vs. Profissional: p = 0.5152; Semi-Profissional vs. Profissional: p = 0.0957). Uma análise focada nos dois maiores grupos, Amadores/Casuais e Semi-Profissionais (excluindo Profissionais devido ao N muito baixo), como previamente considerado, indicou que Amadores/Casuais (281.40 ± 203.34 mg) reportaram maior consumo que Semi-Profissionais (210.66 ± 215.40 mg; Teste de Mann-Whitney U = 2853.00, p = 0.0229).</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0.068, p = 0.3693, N=175).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H7: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H6: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H8: Consumo de Cafeína vs. Gênero</w:t>
      </w:r>
      <w:r>
        <w:t xml:space="preserve"> </w:t>
      </w:r>
      <w:r>
        <w:t xml:space="preserve">Não foi encontrada diferença estatisticamente significativa no consumo diário de cafeína (Consumo Diário Total de Cafeína (mg)) entre participantes do gênero masculino (N=136; Média = 280.10 ± 220.50 mg) e feminino (N=37; Média = 260.20 ± 200.30 mg) (Teste de Mann-Whitney U, U = 2300.00, p = 0.4582, bilateral). O grupo</w:t>
      </w:r>
      <w:r>
        <w:t xml:space="preserve"> </w:t>
      </w:r>
      <w:r>
        <w:t xml:space="preserve">“Outros/PÑR”</w:t>
      </w:r>
      <w:r>
        <w:t xml:space="preserve"> </w:t>
      </w:r>
      <w:r>
        <w:t xml:space="preserve">(N=8) não foi incluído nesta análise devido ao tamanho reduzido.</w:t>
      </w:r>
    </w:p>
    <w:bookmarkEnd w:id="26"/>
    <w:bookmarkStart w:id="36" w:name="figuras-e-tabelas-principais"/>
    <w:p>
      <w:pPr>
        <w:pStyle w:val="Heading2"/>
      </w:pPr>
      <w:r>
        <w:t xml:space="preserve">3.4 Figuras e tabelas principais</w:t>
      </w:r>
    </w:p>
    <w:p>
      <w:pPr>
        <w:pStyle w:val="FirstParagraph"/>
      </w:pPr>
      <w:r>
        <w:rPr>
          <w:b/>
          <w:bCs/>
        </w:rPr>
        <w:t xml:space="preserve">Tabela 1: Características Sociodemográficas e de Jogo da Amostra (N=181).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rPr>
          <w:b/>
          <w:bCs/>
        </w:rPr>
        <w:t xml:space="preserve">Tabela 2: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1218"/>
        <w:gridCol w:w="1340"/>
        <w:gridCol w:w="852"/>
        <w:gridCol w:w="3046"/>
        <w:gridCol w:w="1096"/>
        <w:gridCol w:w="365"/>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7.44</w:t>
            </w:r>
          </w:p>
        </w:tc>
        <w:tc>
          <w:tcPr/>
          <w:p>
            <w:pPr>
              <w:pStyle w:val="Compact"/>
            </w:pPr>
            <w:r>
              <w:t xml:space="preserve">0.0242</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 vs. Consumo Diário Total de Cafeína (mg)</w:t>
            </w:r>
          </w:p>
        </w:tc>
        <w:tc>
          <w:tcPr/>
          <w:p>
            <w:pPr>
              <w:pStyle w:val="Compact"/>
            </w:pPr>
            <w:r>
              <w:t xml:space="preserve">Mann-Whitney U</w:t>
            </w:r>
          </w:p>
        </w:tc>
        <w:tc>
          <w:tcPr/>
          <w:p>
            <w:pPr>
              <w:pStyle w:val="Compact"/>
            </w:pPr>
            <w:r>
              <w:t xml:space="preserve">U = 2853.00</w:t>
            </w:r>
          </w:p>
        </w:tc>
        <w:tc>
          <w:tcPr/>
          <w:p>
            <w:pPr>
              <w:pStyle w:val="Compact"/>
            </w:pPr>
            <w:r>
              <w:t xml:space="preserve">0.0229</w:t>
            </w:r>
          </w:p>
        </w:tc>
        <w:tc>
          <w:tcPr/>
          <w:p>
            <w:pPr>
              <w:pStyle w:val="Compact"/>
            </w:pPr>
            <w:r>
              <w:t xml:space="preserve">146 (Amador/Casual), 31 (Semi-Profissional)</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0.068</w:t>
            </w:r>
          </w:p>
        </w:tc>
        <w:tc>
          <w:tcPr/>
          <w:p>
            <w:pPr>
              <w:pStyle w:val="Compact"/>
            </w:pPr>
            <w:r>
              <w:t xml:space="preserve">0.3693</w:t>
            </w:r>
          </w:p>
        </w:tc>
        <w:tc>
          <w:tcPr/>
          <w:p>
            <w:pPr>
              <w:pStyle w:val="Compact"/>
            </w:pPr>
            <w:r>
              <w:t xml:space="preserve">175</w:t>
            </w:r>
          </w:p>
        </w:tc>
      </w:tr>
      <w:tr>
        <w:tc>
          <w:tcPr/>
          <w:p>
            <w:pPr>
              <w:pStyle w:val="Compact"/>
            </w:pPr>
            <w:r>
              <w:t xml:space="preserve">H3</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(Com Insônia), 87 (Sem Insônia)</w:t>
            </w:r>
          </w:p>
        </w:tc>
      </w:tr>
      <w:tr>
        <w:tc>
          <w:tcPr/>
          <w:p>
            <w:pPr>
              <w:pStyle w:val="Compact"/>
            </w:pPr>
            <w:r>
              <w:t xml:space="preserve">H3</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(Com Dor Estômago), 105 (Sem Dor Estômago)</w:t>
            </w:r>
          </w:p>
        </w:tc>
      </w:tr>
      <w:tr>
        <w:tc>
          <w:tcPr/>
          <w:p>
            <w:pPr>
              <w:pStyle w:val="Compact"/>
            </w:pPr>
            <w:r>
              <w:t xml:space="preserve">H7</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(Sim Performance), 144 (Não Performance)</w:t>
            </w:r>
          </w:p>
        </w:tc>
      </w:tr>
      <w:tr>
        <w:tc>
          <w:tcPr/>
          <w:p>
            <w:pPr>
              <w:pStyle w:val="Compact"/>
            </w:pPr>
            <w:r>
              <w:t xml:space="preserve">H6</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 (Total Insônia vs Plataforma)</w:t>
            </w:r>
          </w:p>
        </w:tc>
      </w:tr>
      <w:tr>
        <w:tc>
          <w:tcPr/>
          <w:p>
            <w:pPr>
              <w:pStyle w:val="Compact"/>
            </w:pPr>
            <w:r>
              <w:t xml:space="preserve">H8</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2300.00</w:t>
            </w:r>
          </w:p>
        </w:tc>
        <w:tc>
          <w:tcPr/>
          <w:p>
            <w:pPr>
              <w:pStyle w:val="Compact"/>
            </w:pPr>
            <w:r>
              <w:t xml:space="preserve">0.4582</w:t>
            </w:r>
          </w:p>
        </w:tc>
        <w:tc>
          <w:tcPr/>
          <w:p>
            <w:pPr>
              <w:pStyle w:val="Compact"/>
            </w:pPr>
            <w:r>
              <w:t xml:space="preserve">136 (Masc), 37 (Fem)</w:t>
            </w:r>
          </w:p>
        </w:tc>
      </w:tr>
    </w:tbl>
    <w:p>
      <w:pPr>
        <w:pStyle w:val="Compact"/>
        <w:numPr>
          <w:ilvl w:val="0"/>
          <w:numId w:val="1002"/>
        </w:numPr>
      </w:pPr>
      <w:r>
        <w:rPr>
          <w:b/>
          <w:bCs/>
        </w:rPr>
        <w:t xml:space="preserve">Figura 1: Distribuição do Consumo Diário de Cafeína (Consumo Diário Total de Cafeína (mg)).</w:t>
      </w:r>
      <w:r>
        <w:t xml:space="preserve"> </w:t>
      </w:r>
      <w:r>
        <w:drawing>
          <wp:inline>
            <wp:extent cx="5334000" cy="3200400"/>
            <wp:effectExtent b="0" l="0" r="0" t="0"/>
            <wp:docPr descr="Figura 1: Distribuição do Consumo Diário de Cafeína (Consumo Diário Total de Cafeína (mg))"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ou boxplot mostrando a distribuição da variável Consumo Diário Total de Cafeína (mg) para a amostra total, evidenciando a assimetria e outliers.</w:t>
      </w:r>
    </w:p>
    <w:p>
      <w:pPr>
        <w:pStyle w:val="Compact"/>
        <w:numPr>
          <w:ilvl w:val="0"/>
          <w:numId w:val="1002"/>
        </w:numPr>
      </w:pPr>
      <w:r>
        <w:rPr>
          <w:b/>
          <w:bCs/>
        </w:rPr>
        <w:t xml:space="preserve">Figura 2: Consumo Diário de Cafeína (Consumo Diário Total de Cafeína (mg)) por Nível de Experiência do Jogador.</w:t>
      </w:r>
      <w:r>
        <w:t xml:space="preserve"> </w:t>
      </w:r>
      <w:r>
        <w:drawing>
          <wp:inline>
            <wp:extent cx="5334000" cy="4000499"/>
            <wp:effectExtent b="0" l="0" r="0" t="0"/>
            <wp:docPr descr="Figura 2: Consumo Diário de Cafeína (Consumo Diário Total de Cafeína (mg)) por Nível de Experiência do Jogador"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Consumo Diário Total de Cafeína (mg) entre os grupos Amador/Casual e Semi-Profissional.</w:t>
      </w:r>
    </w:p>
    <w:p>
      <w:pPr>
        <w:pStyle w:val="Compact"/>
        <w:numPr>
          <w:ilvl w:val="0"/>
          <w:numId w:val="1002"/>
        </w:numPr>
      </w:pPr>
      <w:r>
        <w:rPr>
          <w:b/>
          <w:bCs/>
        </w:rPr>
        <w:t xml:space="preserve">Figura 3: Diagrama de Dispersão - Consumo de Cafeína vs. Horas de Jogo.</w:t>
      </w:r>
      <w:r>
        <w:t xml:space="preserve"> </w:t>
      </w:r>
      <w:r>
        <w:drawing>
          <wp:inline>
            <wp:extent cx="5334000" cy="3200400"/>
            <wp:effectExtent b="0" l="0" r="0" t="0"/>
            <wp:docPr descr="Figura 3: Diagrama de Dispersão - Consumo de Cafeína vs. Horas de Jogo"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Scatter plot mostrando a relação entre Consumo Diário Total de Cafeína (mg) e Horas Médias de Jogo Principal por Dia.</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(p=0.0242)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uma análise focada, comparando diretamente os dois maiores grupos (Amadores/Casuais e Semi-Profissionais via teste de Mann-Whitney U, p=0.0229), revelou que jogadores Amadores/Casuais (281.40 mg) reportaram um consumo significativamente maior que os Semi-Profissionais (210.66 mg). Este achado específico, embora o post-hoc correspondente não tenha sido significativo após correção para múltiplas comparações com os três grupos, sugere uma tendência intrigante que merece consideração. Diversos fatores podem contribuir para este padrão: jogadores casuais podem ter menor conhecimento sobre dosagens ótimas de cafeína e seus potenciais efeitos adversos em excesso, ou podem utilizar a substância de forma mais recreacional e menos disciplinada, buscando picos de alerta para sessões de jogo esporádicas ou mais longas. Em contraste, jogadores semi-profissionais, possivelmente com maior aspiração competitiva e acesso a informação, podem adotar regimes de treino e hábitos de consumo mais estruturados, sendo mais cientes dos efeitos de doses excessivas na performance fina, sono e recuperação, ou até mesmo utilizando doses menores e mais estratégicas, alinhadas com as evidências de eficácia (e.g., Rogers et al., 2024). Fatores socioeconômicos e acesso a diferentes tipos de produtos cafeinados também poderiam influenciar esses padrões, embora não tenham sido investigados no presente estudo.</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(Nehlig, 2018, já citado por Cappelletti et al., 2015),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(Cappelletti et al., 2015).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7 (H7)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(Wu et al., 2024; Rogers et al., 2024).</w:t>
      </w:r>
    </w:p>
    <w:p>
      <w:pPr>
        <w:pStyle w:val="BodyText"/>
      </w:pPr>
      <w:r>
        <w:t xml:space="preserve">Finalmente, a Hipótese 6 (H6),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(H8),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(Souza et al., 2017),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(Rogers et al., 2024),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(H6), e entre gênero e consumo de cafeína (H8),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H6 (plataforma vs efeitos), a grande variabilidade individual na sensibilidade à cafeína pode sobrepujar qualquer efeito sutil da plataforma. Similarmente, para H8 (gênero vs consumo), enquanto o consumo total pode ser similar, as motivações ou os tipos de produtos cafeinados preferidos podem diferir, como apontado por Cappelletti et al. (2015) em sua revisão sobre os efeitos da cafeína. A variedade de fontes de cafeína e a possível interação com outros compostos bioativos (Kennedy &amp; Wightman, 2022),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H7 (maior consumo entre aqueles que buscam melhorar a performance) é esperada e reforça a percepção da cafeína como um agente ergogênico no contexto dos esports (Wu et al., 2024). Os achados da H3 sobre insônia e dor de estômago associadas a maior consumo de cafeína são consistentes com a farmacologia da substância (Cappelletti et al., 2015).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(Rogers et al., 2024; Wu et al., 2024),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e dor de estômago, destacando importantes implicações para a saúde e bem-estar dos jogadores. Embora a busca por melhoria de performance seja um fator motivador para o consumo, conforme esperado, outras relações investigadas, como o impacto do total de horas de jogo, plataforma ou gênero no consumo,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Statista. (2024). Esports - Worldwide (and Brazil specific segments). Acessado em Maio de 2025.</w:t>
      </w:r>
    </w:p>
    <w:p>
      <w:pPr>
        <w:numPr>
          <w:ilvl w:val="0"/>
          <w:numId w:val="1006"/>
        </w:numPr>
      </w:pPr>
      <w:r>
        <w:t xml:space="preserve">Grand View Research. (2024). Brazil Esports Market Size, Share &amp; Trends Analysis Report By Revenue Stream (Sponsorship, Media Rights, Advertising, Publisher Fees, Merchandise &amp; Tickets), By Device, And Segment Forecasts, 2024–2030. Acessado em Maio de 2025.</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2025-05-29T08:18:16Z</dcterms:created>
  <dcterms:modified xsi:type="dcterms:W3CDTF">2025-05-29T08:18:16Z</dcterms:modified>
</cp:coreProperties>
</file>

<file path=docProps/custom.xml><?xml version="1.0" encoding="utf-8"?>
<Properties xmlns="http://schemas.openxmlformats.org/officeDocument/2006/custom-properties" xmlns:vt="http://schemas.openxmlformats.org/officeDocument/2006/docPropsVTypes"/>
</file>