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Large Language Models in Clinical Nutrition: A Scoping Review of Performance, Safety, and Implementation</w:t>
      </w:r>
    </w:p>
    <w:p>
      <w:pPr>
        <w:pStyle w:val="BodyText"/>
      </w:pPr>
      <w:r>
        <w:t xml:space="preserve">Running Title: LLMs in Clinical Nutrition</w:t>
      </w:r>
    </w:p>
    <w:p>
      <w:pPr>
        <w:pStyle w:val="BodyText"/>
      </w:pPr>
      <w:r>
        <w:t xml:space="preserve">Ellis Wollis Malta Abhulime¹ https://orcid.org/0009-0007-5525-5085, Vicente Rossi Mônaco¹ https://orcid.org/0009-0000-7032-9889, Rafael Delgado de Melo¹ https://orcid.org/0009-0003-5861-2296, Fabiana Braga Benatti¹* https://orcid.org/0000-0002-8320-7044, Diogo Thimoteo da Cunha¹ https://orcid.org/0000-0001-5928-9265</w:t>
      </w:r>
    </w:p>
    <w:p>
      <w:pPr>
        <w:pStyle w:val="BodyText"/>
      </w:pPr>
      <w:r>
        <w:t xml:space="preserve">¹Laboratório Multidisciplinar em Alimentos e Saúde (LabMAS), Faculdade de Ciências Aplicadas (FCA), Universidade Estadual de Campinas (UNICAMP), Limeira, São Paulo, Brasil</w:t>
      </w:r>
    </w:p>
    <w:p>
      <w:pPr>
        <w:pStyle w:val="BodyText"/>
      </w:pPr>
      <w:r>
        <w:t xml:space="preserve">*Corresponding Author: Fabiana Braga Benatti, Email: fbenatti@unicamp.br, Multidisciplinary Laboratory in Food and Health (LabMAS), School of Applied Sciences (FCA), University of Campinas (UNICAMP), Rua Pedro Zaccaria, 1300, 13484-350, Limeira, São Paulo, Brazil</w:t>
      </w:r>
    </w:p>
    <w:bookmarkStart w:id="9" w:name="abstract"/>
    <w:p>
      <w:pPr>
        <w:pStyle w:val="Heading2"/>
      </w:pPr>
      <w:r>
        <w:t xml:space="preserve">Abstract</w:t>
      </w:r>
    </w:p>
    <w:p>
      <w:pPr>
        <w:pStyle w:val="FirstParagraph"/>
      </w:pPr>
      <w:r>
        <w:t xml:space="preserve">Large Language Models (LLMs) are increasingly evaluated for clinical nutrition tasks, yet evidence on performance, safety, and real-world effectiveness remains fragmented. We conducted a PRISMA-ScR–informed scoping review of 53 sources (2020–2025) identified across PubMed/MEDLINE, Web of Science Core Collection, Scopus, IEEE Xplore, ACM Digital Library, and Google Scholar, plus supplementary screening. Across exam-style benchmarks, top models achieved up to 95% accuracy, but performance dropped below 50% in complex multimorbidity scenarios. In dietary assessment, image-based systems showed systematic portion-size underestimation, which may bias energy and protein estimation in vulnerable patients. Safety vulnerabilities were frequent, including allergen errors, fabricated citations, and susceptibility to adversarial prompting, with hallucination rates of 50–82% reported under clinical decision-support stress testing. Clinical outcome evidence remains limited and heterogeneous, including a 48-week randomized trial of AI-based dietary management in type 2 diabetes and a pragmatic 12-month noninferiority trial of an AI-led Diabetes Prevention Program; adverse-event reporting was uncommon in the broader chatbot literature. Current evidence does not support autonomous deployment for medical nutrition therapy; if implemented, systems should be restricted to supervised decision support with guideline-grounded architectures, local validation, audit trails, and proactive safety monitoring. Priority research includes nutrition-specific public benchmarks and long-term trials with objective outcomes and prespecified safety endpoints.</w:t>
      </w:r>
    </w:p>
    <w:p>
      <w:pPr>
        <w:pStyle w:val="BodyText"/>
      </w:pPr>
      <w:r>
        <w:rPr>
          <w:b/>
          <w:bCs/>
        </w:rPr>
        <w:t xml:space="preserve">Keywords:</w:t>
      </w:r>
      <w:r>
        <w:t xml:space="preserve"> </w:t>
      </w:r>
      <w:r>
        <w:t xml:space="preserve">artificial intelligence, large language models, nutrition, dietetics, digital health</w:t>
      </w:r>
    </w:p>
    <w:bookmarkEnd w:id="9"/>
    <w:bookmarkStart w:id="10" w:name="introduction"/>
    <w:p>
      <w:pPr>
        <w:pStyle w:val="Heading2"/>
      </w:pPr>
      <w:r>
        <w:t xml:space="preserve">Introduction</w:t>
      </w:r>
    </w:p>
    <w:p>
      <w:pPr>
        <w:pStyle w:val="FirstParagraph"/>
      </w:pPr>
      <w:r>
        <w:t xml:space="preserve">The integration of Artificial Intelligence (AI) into clinical nutrition represents a paradigm shift from passive monitoring tools toward generative systems that can support complex clinical reasoning and personalized care [1, 2]. Large Language Models (LLMs) extend this promise by enabling natural-language interaction, guideline retrieval, and rapid synthesis of complex nutritional information [3]. Yet, these same capabilities introduce critical risks: outputs can be plausible but incorrect (</w:t>
      </w:r>
      <w:r>
        <w:t xml:space="preserve">‘hallucinations’</w:t>
      </w:r>
      <w:r>
        <w:t xml:space="preserve"> </w:t>
      </w:r>
      <w:r>
        <w:t xml:space="preserve">[4]), ungrounded, or inconsistently reproduced across prompts and contexts [5].</w:t>
      </w:r>
    </w:p>
    <w:p>
      <w:pPr>
        <w:pStyle w:val="BodyText"/>
      </w:pPr>
      <w:r>
        <w:t xml:space="preserve">This appeal is partly pragmatic: LLMs can synthesize complex dietary guidelines, adapt recommendations to individual preferences, and provide scalable access to nutrition information—potentially addressing the global shortage of nutrition professionals documented by the International Confederation of Dietetic Associations [6]. Recent benchmarking studies report high performance on dietitian licensing-style examinations, in some cases exceeding human first-attempt baselines [5].</w:t>
      </w:r>
    </w:p>
    <w:p>
      <w:pPr>
        <w:pStyle w:val="BodyText"/>
      </w:pPr>
      <w:r>
        <w:t xml:space="preserve">These vulnerabilities carry tangible clinical consequences. Studies have documented allergen inclusion errors—such as almond milk prescribed in nut-free diets—and nutritionally unbalanced meal plans that could precipitate adverse events in vulnerable patients [7]. Citation fabrication further undermines trust and prevents verification of recommendations; in an assessment by Chatelan et al. [8], only 33% of citations generated by ChatGPT were adequate and 13% were completely non-existent. The World Health Organization’s guidance on AI for health accordingly emphasizes rigorous evidence and governance safeguards before clinical deployment [9].</w:t>
      </w:r>
    </w:p>
    <w:p>
      <w:pPr>
        <w:pStyle w:val="BodyText"/>
      </w:pPr>
      <w:r>
        <w:t xml:space="preserve">Evidence in this area is rapidly expanding but methodologically heterogeneous: studies span examination-style benchmarking, dietary assessment validation, adversarial safety testing, implementation/feasibility reports, and a small number of clinical trials. Prior narrative reviews [1, 2] have summarized broad AI applications in nutrition but have not systematically mapped quantitative performance metrics, safety failure modes, and implementation-relevant outcomes specific to LLM-era systems.</w:t>
      </w:r>
    </w:p>
    <w:p>
      <w:pPr>
        <w:pStyle w:val="BodyText"/>
      </w:pPr>
      <w:r>
        <w:t xml:space="preserve">This scoping review therefore aims to systematically examine and synthesize evidence on LLM applications in clinical nutrition and dietetics. Specifically, we seek to characterize: (i) how different LLM architectures (deterministic, pure LLM, hybrid/RAG systems) compare across accuracy, consistency, and clinical appropriateness metrics; (ii) what quantitative evidence exists comparing LLM versus human dietitian performance; (iii) measured caloric and nutritional precision across food types and model architectures; (iv) documented safety vulnerabilities including hallucination rates, citation fabrication, and allergen errors; (v) preliminary clinical outcome evidence from interventional studies; (vi) regulatory and professional positioning frameworks; and (vii) evidence-based pathways for responsible clinical implementation.</w:t>
      </w:r>
    </w:p>
    <w:bookmarkEnd w:id="10"/>
    <w:bookmarkStart w:id="11" w:name="methods"/>
    <w:p>
      <w:pPr>
        <w:pStyle w:val="Heading2"/>
      </w:pPr>
      <w:r>
        <w:t xml:space="preserve">Methods</w:t>
      </w:r>
    </w:p>
    <w:p>
      <w:pPr>
        <w:pStyle w:val="FirstParagraph"/>
      </w:pPr>
      <w:r>
        <w:t xml:space="preserve">Scoping Review Rationale and Design</w:t>
      </w:r>
    </w:p>
    <w:p>
      <w:pPr>
        <w:pStyle w:val="BodyText"/>
      </w:pPr>
      <w:r>
        <w:t xml:space="preserve">We conducted a scoping review following the PRISMA Extension for Scoping Reviews (PRISMA-ScR) guidelines [10] to map quantitative evidence on LLM performance, safety, and implementation in clinical nutrition across heterogeneous study designs. The selection process is detailed in Figure 1 (PRISMA flow diagram), and full extraction data are provided in Supplementary Table S1.</w:t>
      </w:r>
    </w:p>
    <w:p>
      <w:pPr>
        <w:pStyle w:val="BodyText"/>
      </w:pPr>
      <w:r>
        <w:t xml:space="preserve">Search Strategy and Information Sources</w:t>
      </w:r>
    </w:p>
    <w:p>
      <w:pPr>
        <w:pStyle w:val="BodyText"/>
      </w:pPr>
      <w:r>
        <w:t xml:space="preserve">Databases and Sources: Comprehensive literature searches were conducted across six electronic databases: PubMed/MEDLINE, Web of Science Core Collection, Scopus, IEEE Xplore Digital Library, ACM Digital Library, and Google Scholar (first 200 results per query, sorted by relevance) for articles published between January 1, 2020 (aligning with the proliferation of Transformer-based LLMs following GPT-3’s release) and September 30, 2025.</w:t>
      </w:r>
    </w:p>
    <w:p>
      <w:pPr>
        <w:pStyle w:val="BodyText"/>
      </w:pPr>
      <w:r>
        <w:rPr>
          <w:b/>
          <w:bCs/>
        </w:rPr>
        <w:t xml:space="preserve">Update Strategy (Bridge Search):</w:t>
      </w:r>
      <w:r>
        <w:t xml:space="preserve"> </w:t>
      </w:r>
      <w:r>
        <w:t xml:space="preserve">Given the rapid pace of releases in the field, we conducted a targeted bridge search on December 22, 2025, in PubMed and Google Scholar (date filter: October 1, 2025–December 22, 2025) to capture late-2025 clinical trials and technical documentation released after the primary search cutoff, ensuring that the Discussion reflects the most current evidence at the time of submission.</w:t>
      </w:r>
    </w:p>
    <w:p>
      <w:pPr>
        <w:pStyle w:val="BodyText"/>
      </w:pPr>
      <w:r>
        <w:t xml:space="preserve">Search Strategy Development: We used an iterative, nutrition-focused search strategy with 65 Boolean queries combining nutrition/dietetics concepts with AI/LLM terms; complete database-specific queries are provided in Supplementary File S3.</w:t>
      </w:r>
    </w:p>
    <w:p>
      <w:pPr>
        <w:pStyle w:val="BodyText"/>
      </w:pPr>
      <w:r>
        <w:t xml:space="preserve">Example PubMed search string:</w:t>
      </w:r>
    </w:p>
    <w:p>
      <w:pPr>
        <w:pStyle w:val="BodyText"/>
      </w:pPr>
      <w:r>
        <w:t xml:space="preserve">((</w:t>
      </w:r>
      <w:r>
        <w:t xml:space="preserve">“artificial intelligence”</w:t>
      </w:r>
      <w:r>
        <w:t xml:space="preserve">[MeSH] OR</w:t>
      </w:r>
      <w:r>
        <w:t xml:space="preserve"> </w:t>
      </w:r>
      <w:r>
        <w:t xml:space="preserve">“machine learning”</w:t>
      </w:r>
      <w:r>
        <w:t xml:space="preserve">[MeSH] OR</w:t>
      </w:r>
      <w:r>
        <w:t xml:space="preserve"> </w:t>
      </w:r>
      <w:r>
        <w:t xml:space="preserve">“large language model”</w:t>
      </w:r>
      <w:r>
        <w:t xml:space="preserve">[tiab] OR LLM[tiab] OR GPT[tiab] OR chatbot[tiab]) AND (nutrition[MeSH] OR dietetics[MeSH] OR</w:t>
      </w:r>
      <w:r>
        <w:t xml:space="preserve"> </w:t>
      </w:r>
      <w:r>
        <w:t xml:space="preserve">“dietary assessment”</w:t>
      </w:r>
      <w:r>
        <w:t xml:space="preserve">[tiab] OR nutritionist[tiab] OR dietitian[tiab])) AND (2020/01/01:2025/09/30[Date - Publication])</w:t>
      </w:r>
    </w:p>
    <w:p>
      <w:pPr>
        <w:pStyle w:val="BodyText"/>
      </w:pPr>
      <w:r>
        <w:t xml:space="preserve">Supplementary search methods: (1) Manual screening of reference lists from included reviews and key primary studies; and (2) Forward citation tracking of seminal papers using Google Scholar.</w:t>
      </w:r>
    </w:p>
    <w:p>
      <w:pPr>
        <w:pStyle w:val="BodyText"/>
      </w:pPr>
      <w:r>
        <w:t xml:space="preserve">Search documentation: Complete search strings for all databases are available in Supplementary File S3 (Search Strategy Documentation).</w:t>
      </w:r>
    </w:p>
    <w:p>
      <w:pPr>
        <w:pStyle w:val="BodyText"/>
      </w:pPr>
      <w:r>
        <w:t xml:space="preserve">Use of AI-assisted tools: In line with Springer Nature guidance, AI-assisted language tools were used only to refine Boolean search strings and to improve readability/grammar. Outputs were reviewed by the authors, who take full responsibility for the manuscript (see TECHNOLOGY USE STATEMENT).</w:t>
      </w:r>
    </w:p>
    <w:p>
      <w:pPr>
        <w:pStyle w:val="BodyText"/>
      </w:pPr>
      <w:r>
        <w:t xml:space="preserve">Inclusion and Exclusion Criteria</w:t>
      </w:r>
    </w:p>
    <w:p>
      <w:pPr>
        <w:pStyle w:val="BodyText"/>
      </w:pPr>
      <w:r>
        <w:t xml:space="preserve">Studies were included if they met all of the following criteria: (1) peer-reviewed journal articles, full-text peer-reviewed conference proceedings (typical in computer science venues; isolated abstracts excluded), or selected authoritative policy/technical documents directly relevant to clinical implementation and safety; (2) primary research (validation studies, randomized controlled trials, observational studies), safety/adversarial testing, benchmark descriptions, or evidence syntheses; (3) either (a) direct application to human nutrition, dietetics, dietary counseling, or clinical nutrition therapy, or (b) foundational LLM safety/governance/evaluation sources used to contextualize clinical nutrition implementation and benchmarking (e.g., benchmark descriptions, system documentation, and regulatory guidance); (4) reporting of quantitative performance metrics and/or clinically relevant outcomes, or providing implementation-relevant safety/governance guidance; (5) published in English between January 1, 2020 (aligning with the proliferation of Transformer-based LLMs) and September 30, 2025 (with bridge search extending to December 22, 2025). For included reviews, we extracted only aggregated insights or identified gaps, avoiding double-counting of primary data already extracted individually.</w:t>
      </w:r>
    </w:p>
    <w:p>
      <w:pPr>
        <w:pStyle w:val="BodyText"/>
      </w:pPr>
      <w:r>
        <w:t xml:space="preserve">Studies were excluded if they: focused on animal nutrition without human relevance; addressed food science manufacturing or agricultural applications without a clinical nutrition component; were opinion pieces, editorials, or commentaries without substantive methods or data; focused exclusively on computer vision or image recognition without any language-model or conversational component; were duplicate publications (e.g., conference abstracts subsequently published as full journal articles—only the full article was retained); or described traditional machine learning models (e.g., SVM, Random Forest) or rule-based expert systems predating 2020 without integration with generative language architectures.</w:t>
      </w:r>
    </w:p>
    <w:p>
      <w:pPr>
        <w:pStyle w:val="BodyText"/>
      </w:pPr>
      <w:r>
        <w:t xml:space="preserve">Screening process: Two independent reviewers (V.R.M. and R.D.M.) screened titles/abstracts and assessed full texts for eligibility. Disagreements were resolved by discussion; when consensus could not be reached, a third reviewer (E.W.M.A.) adjudicated. Final eligibility decisions were reviewed and validated by the senior authors (F.B.B. and D.T.C.).</w:t>
      </w:r>
    </w:p>
    <w:p>
      <w:pPr>
        <w:pStyle w:val="BodyText"/>
      </w:pPr>
      <w:r>
        <w:t xml:space="preserve">Data Extraction and Synthesis</w:t>
      </w:r>
    </w:p>
    <w:p>
      <w:pPr>
        <w:pStyle w:val="BodyText"/>
      </w:pPr>
      <w:r>
        <w:t xml:space="preserve">Data extraction: Three reviewers (E.W.M.A., V.R.M., and R.D.M.) extracted data using standardized forms developed and pilot-tested on 10 representative studies. Discrepancies were resolved by consensus. We extracted study design and sample size/dataset, model/system characteristics, comparators, performance and safety outcomes (including hallucinations, citation accuracy, allergen errors, and estimation errors), follow-up duration (where applicable), and funding source.</w:t>
      </w:r>
    </w:p>
    <w:p>
      <w:pPr>
        <w:pStyle w:val="BodyText"/>
      </w:pPr>
      <w:r>
        <w:t xml:space="preserve">Data synthesis approach: Given heterogeneous study designs, outcome measures, and LLM architectures, formal meta-analysis was not feasible. Instead, we employed structured narrative synthesis organized thematically by the seven research questions outlined in the Introduction. Quantitative findings were tabulated to enable cross-study comparison. Where multiple studies addressed the same outcome (e.g., RD examination accuracy), results were presented in comparative tables with methodological details.</w:t>
      </w:r>
    </w:p>
    <w:p>
      <w:pPr>
        <w:pStyle w:val="BodyText"/>
      </w:pPr>
      <w:r>
        <w:t xml:space="preserve">Thematic categorization: Studies were classified into primary categories based on main focus: (1) Architecture comparison studies, (2) Performance benchmarking studies, (3) Safety/adversarial testing, (4) Clinical outcome trials, (5) Nutritional precision validation, (6) Regulatory/ethical analyses, (7) Implementation/feasibility studies. Studies addressing multiple themes were coded for all relevant categories.</w:t>
      </w:r>
    </w:p>
    <w:p>
      <w:pPr>
        <w:pStyle w:val="BodyText"/>
      </w:pPr>
      <w:r>
        <w:t xml:space="preserve">Quality Considerations and Methodological Limitations</w:t>
      </w:r>
    </w:p>
    <w:p>
      <w:pPr>
        <w:pStyle w:val="BodyText"/>
      </w:pPr>
      <w:r>
        <w:t xml:space="preserve">Consistent with scoping review methodology [10], we did not perform formal risk-of-bias appraisal. To contextualize findings, we prioritized peer-reviewed publications and extracted key indicators of interpretability and potential bias (study design, sample size/dataset, reporting transparency, and funding source) in Supplementary Table S1.</w:t>
      </w:r>
    </w:p>
    <w:bookmarkEnd w:id="11"/>
    <w:bookmarkStart w:id="19" w:name="results"/>
    <w:p>
      <w:pPr>
        <w:pStyle w:val="Heading2"/>
      </w:pPr>
      <w:r>
        <w:t xml:space="preserve">Results</w:t>
      </w:r>
    </w:p>
    <w:bookmarkStart w:id="12" w:name="literature-search-outcomes"/>
    <w:p>
      <w:pPr>
        <w:pStyle w:val="Heading3"/>
      </w:pPr>
      <w:r>
        <w:t xml:space="preserve">Literature Search Outcomes</w:t>
      </w:r>
    </w:p>
    <w:p>
      <w:pPr>
        <w:pStyle w:val="FirstParagraph"/>
      </w:pPr>
      <w:r>
        <w:t xml:space="preserve">Electronic searches identified 8,247 records. After duplicate removal (n=2,415), 5,832 records were screened by title and abstract, excluding 5,520 records not meeting AI/LLM nutrition focus criteria. Full-text assessment of 312 reports resulted in inclusion of 49 sources from the primary search. The bridge search (Oct–Dec 2025) identified four additional sources, yielding a final total of</w:t>
      </w:r>
      <w:r>
        <w:t xml:space="preserve"> </w:t>
      </w:r>
      <w:r>
        <w:rPr>
          <w:b/>
          <w:bCs/>
        </w:rPr>
        <w:t xml:space="preserve">53 sources</w:t>
      </w:r>
      <w:r>
        <w:t xml:space="preserve"> </w:t>
      </w:r>
      <w:r>
        <w:t xml:space="preserve">(49 + 4) included in the review as the evidence base (Figure 1), with additional citations providing methodological support.</w:t>
      </w:r>
    </w:p>
    <w:p>
      <w:pPr>
        <w:pStyle w:val="BodyText"/>
      </w:pPr>
      <w:r>
        <w:t xml:space="preserve">Included sources comprised primary empirical evaluations (n=29), evidence syntheses (n=14), and policy/technical sources (n=10) included to contextualize clinical implementation, governance, and benchmarking, reflecting the diversity of evidence types in this emerging field.</w:t>
      </w:r>
    </w:p>
    <w:bookmarkEnd w:id="12"/>
    <w:bookmarkStart w:id="13" w:name="Xf78f33ee6bb973d0547619c7e4083516385f905"/>
    <w:p>
      <w:pPr>
        <w:pStyle w:val="Heading3"/>
      </w:pPr>
      <w:r>
        <w:t xml:space="preserve">AI Architecture Comparison: Deterministic vs LLMs vs Hybrid Systems</w:t>
      </w:r>
    </w:p>
    <w:p>
      <w:pPr>
        <w:pStyle w:val="FirstParagraph"/>
      </w:pPr>
      <w:r>
        <w:t xml:space="preserve">Across included sources, systems ranged from general-purpose LLMs to domain-adapted nutrition models and hybrid architectures that constrain generation using guidelines or retrieval components. In exam-style benchmarking, top-performing models achieved high accuracy; Azimi et al. reported 95% accuracy on the U.S. Registered Dietitian (RD) examination with GPT-4o using Chain-of-Thought self-consistency, compared with a historical human first-attempt pass rate around 61% [5, 15]. The same study reported high test-retest reliability for Gemini 1.5 Pro (Fleiss κ=0.996) [5]. Domain-adapted models such as FoodSky improved dietetic examination performance compared with general-purpose baselines [11]. Hybrid systems that combine generative models with explicit nutrition constraints demonstrated improved precision; Papastratis et al. reported 0.00±0.00 caloric deviation and 87% macronutrient precision when coupling a deep generative model with ChatGPT, outperforming ChatGPT alone (~17% deviation) [12]. Retrieval-augmented generation (RAG) approaches aim to ground outputs in curated knowledge sources and reduce hallucinations; examples include nutrition-focused systems for obesity and type 2 diabetes and RAG for dietary supplement information retrieval [13, 14].</w:t>
      </w:r>
      <w:r>
        <w:t xml:space="preserve"> </w:t>
      </w:r>
      <w:r>
        <w:t xml:space="preserve">Selected comparisons against human/expert benchmarks are summarized in Table 1.</w:t>
      </w:r>
    </w:p>
    <w:bookmarkEnd w:id="13"/>
    <w:bookmarkStart w:id="14" w:name="X407ee7720363880a00d79f8a9a7053fa8ea5467"/>
    <w:p>
      <w:pPr>
        <w:pStyle w:val="Heading3"/>
      </w:pPr>
      <w:r>
        <w:t xml:space="preserve">Model-Specific Performance Characteristics</w:t>
      </w:r>
    </w:p>
    <w:p>
      <w:pPr>
        <w:pStyle w:val="FirstParagraph"/>
      </w:pPr>
      <w:r>
        <w:t xml:space="preserve">Performance varied substantially by task and evaluation design. In licensing-style question-answering, GPT-4o achieved 95% accuracy on the U.S. RD examination with CoT-SC prompting, while Gemini 1.5 Pro showed high reproducibility (Fleiss κ=0.996) under repeated measurement [5]. FoodSky, a food-oriented model, achieved 91.2% on dietetic examinations and outperformed GPT-4o in that benchmark [11]. In sports nutrition, Claude 3.5 Sonnet achieved 89% accuracy but showed prompt sensitivity and only moderate test-retest reproducibility [16].</w:t>
      </w:r>
    </w:p>
    <w:p>
      <w:pPr>
        <w:pStyle w:val="BodyText"/>
      </w:pPr>
      <w:r>
        <w:t xml:space="preserve">In diet plan generation, Kaya Kaçar et al. found diet quality scores (DQI-I) &gt;70 across multiple chatbots, but large between-model differences in caloric deviation; ChatGPT 4.0 had 0% of plans with &gt;20% deviation, whereas Gemini had 50% [17]. In a dietitian-based evaluation for college students, ChatGPT dietary advice showed high accuracy for nutrition label items (84.38%) but was frequently criticized for insufficient thoroughness [18]. In clinical scenarios, appropriateness depended on the condition and declined with overlapping comorbidities [19, 20].</w:t>
      </w:r>
    </w:p>
    <w:p>
      <w:pPr>
        <w:pStyle w:val="BodyText"/>
      </w:pPr>
      <w:r>
        <w:t xml:space="preserve">Beyond conversational outputs, related AI systems are being evaluated for hospital nutrition workflows. A machine-learning model for hospital malnutrition screening reported 81–91% domain accuracy and F1=0.966 for malnutrition identification [21].</w:t>
      </w:r>
    </w:p>
    <w:bookmarkEnd w:id="14"/>
    <w:bookmarkStart w:id="15" w:name="X52931c75274511fd541e3d26080ff36c6110122"/>
    <w:p>
      <w:pPr>
        <w:pStyle w:val="Heading3"/>
      </w:pPr>
      <w:r>
        <w:t xml:space="preserve">LLMs versus Human Reference: Comparative Evidence</w:t>
      </w:r>
    </w:p>
    <w:p>
      <w:pPr>
        <w:pStyle w:val="FirstParagraph"/>
      </w:pPr>
      <w:r>
        <w:t xml:space="preserve">Across exam-style benchmarking, GPT-4o achieved 95% on the U.S. RD examination compared with a human first-attempt pass rate around 61% [5, 15]. In a Chinese RD exam benchmark, GPT-4.0 scored 74.5% versus national pass rates of 30–40% [22]. Similar patterns were reported in sports nutrition assessment benchmarks, though prompt sensitivity remains a concern [16].</w:t>
      </w:r>
    </w:p>
    <w:p>
      <w:pPr>
        <w:pStyle w:val="BodyText"/>
      </w:pPr>
      <w:r>
        <w:t xml:space="preserve">Kirk et al. (2023) compared ChatGPT answers with human dieticians for common nutrition questions; ChatGPT scored higher on 5/8 questions, and no human response outperformed ChatGPT [23]. In a qualitative evaluation of weight management diet plans, 79.1% of raters were unable to distinguish AI-generated from institutional plans; only 5/67 correctly identified the source, while reviewers highlighted limitations such as conflicting nutritional priorities (e.g., caloric restriction vs. adequate protein intake) and insufficient portion specificity [24].</w:t>
      </w:r>
    </w:p>
    <w:p>
      <w:pPr>
        <w:pStyle w:val="BodyText"/>
      </w:pPr>
      <w:r>
        <w:t xml:space="preserve">However, accuracy decreases significantly with multiple comorbidities. In a multi-chatbot evaluation, all 10 models fell below 50% accuracy for complex obesity cases with overlapping conditions, with ChatGPT-4 highest at 46.2% [20].</w:t>
      </w:r>
    </w:p>
    <w:bookmarkEnd w:id="15"/>
    <w:bookmarkStart w:id="16" w:name="Xe53a535aa4c24fdf5339ff9500bf16e059c09cf"/>
    <w:p>
      <w:pPr>
        <w:pStyle w:val="Heading3"/>
      </w:pPr>
      <w:r>
        <w:t xml:space="preserve">Caloric and Nutritional Precision: Quantitative Analysis</w:t>
      </w:r>
    </w:p>
    <w:p>
      <w:pPr>
        <w:pStyle w:val="FirstParagraph"/>
      </w:pPr>
      <w:r>
        <w:t xml:space="preserve">In nutrient estimation tasks, accuracy varied widely across foods and nutrients. Haman et al. compared ChatGPT nutrient estimations with USDA FoodData Central across 236 foods; energy estimates were within 10% error for 66.4% of foods (fat: 29.9% within 10%) [25]. In an evaluation of manual logging and AI-enabled food image recognition across 18 nutrition apps, systematic errors differed by cuisine, with manual logging overestimating Western diets and underestimating Asian diets [26].</w:t>
      </w:r>
    </w:p>
    <w:p>
      <w:pPr>
        <w:pStyle w:val="BodyText"/>
      </w:pPr>
      <w:r>
        <w:t xml:space="preserve">Precision degraded with complexity and portion size in image-based tasks. O’Hara et al. tested ChatGPT nutrient content estimation from meal photographs and found systematic underestimation for 11 of 16 nutrients, with correlations rs=0.29–0.83 and poorer agreement for medium/large meals [27]. A scoping review of image-based dietary assessment similarly identified systematic portion-size underestimation as a recurrent limitation [28]. Multimodal LLM approaches have also been explored for dietary assessment, but performance remains sensitive to context and prompting [29].</w:t>
      </w:r>
    </w:p>
    <w:p>
      <w:pPr>
        <w:pStyle w:val="BodyText"/>
      </w:pPr>
      <w:r>
        <w:t xml:space="preserve">Architectures incorporating nutrition constraints can improve precision. Papastratis et al. reported 0.00±0.00 caloric deviation and 87% macronutrient precision with a retrieval-augmented hybrid architecture—combining ChatGPT with a structured nutritional database to constrain outputs—outperforming ChatGPT alone (~17% deviation) [12].</w:t>
      </w:r>
    </w:p>
    <w:bookmarkEnd w:id="16"/>
    <w:bookmarkStart w:id="17" w:name="X1265193b7505483c8e4b1db0c01c67cd9a4c6c7"/>
    <w:p>
      <w:pPr>
        <w:pStyle w:val="Heading3"/>
      </w:pPr>
      <w:r>
        <w:t xml:space="preserve">Safety Vulnerabilities and Misinformation Risks</w:t>
      </w:r>
    </w:p>
    <w:p>
      <w:pPr>
        <w:pStyle w:val="FirstParagraph"/>
      </w:pPr>
      <w:r>
        <w:t xml:space="preserve">Omar et al. (2025) stress-tested six LLMs using 300 standardized clinical case scenarios—each developed and validated by physician experts to ensure clinical realism—containing one fabricated clinical detail (5,400 outputs). Hallucination rates ranged from 50% to 82% across models and prompting conditions; mitigation prompts reduced the mean rate from 66% to 44% (p&lt;0.001), and for GPT-4o from 53% to 23% (p&lt;0.001) [30].</w:t>
      </w:r>
    </w:p>
    <w:p>
      <w:pPr>
        <w:pStyle w:val="BodyText"/>
      </w:pPr>
      <w:r>
        <w:t xml:space="preserve">In nutrition-specific contexts, ChatGPT has produced allergen inclusion errors (e.g., almond milk in a nut-free diet) [7]. Reference fabrication is also frequent; Chatelan et al. reported only 33% of citations were adequate and 13% were completely non-existent [8], undermining verification and accountability.</w:t>
      </w:r>
    </w:p>
    <w:p>
      <w:pPr>
        <w:pStyle w:val="BodyText"/>
      </w:pPr>
      <w:r>
        <w:t xml:space="preserve">LLMs can also be vulnerable to targeted misinformation attacks: Han et al. demonstrated that modifying 1.1% of model weights could inject contraindicated treatments and other unsafe medical misinformation [32]. Concerns extend to mental health–adjacent nutrition risks: Toklu Baloğlu highlighted potential harms of chatbot outputs for eating disorders and body image, underscoring the need for human oversight and safety constraints for vulnerable users [31].</w:t>
      </w:r>
      <w:r>
        <w:t xml:space="preserve"> </w:t>
      </w:r>
      <w:r>
        <w:t xml:space="preserve">Key safety vulnerabilities documented in the included literature are summarized in Table 2.</w:t>
      </w:r>
    </w:p>
    <w:bookmarkEnd w:id="17"/>
    <w:bookmarkStart w:id="18" w:name="X39525864d761db54896700658a7d270b82e71f6"/>
    <w:p>
      <w:pPr>
        <w:pStyle w:val="Heading3"/>
      </w:pPr>
      <w:r>
        <w:t xml:space="preserve">Long-term Clinical Outcomes and Evidence Gaps</w:t>
      </w:r>
    </w:p>
    <w:p>
      <w:pPr>
        <w:pStyle w:val="FirstParagraph"/>
      </w:pPr>
      <w:r>
        <w:t xml:space="preserve">Oh et al. (2021) systematic review identified only four RCTs testing AI chatbots for promoting physical activity, healthy diet, and weight loss (total N=891); most were fair-to-poor quality, and only 1/9 studies reported adverse events [33]. A more recent systematic review of AI applications in personalized dietary recommendations synthesized 38 studies and suggested potential benefits for diabetes management and weight loss, while highlighting limitations in long-term adherence and cultural adaptation [34].</w:t>
      </w:r>
    </w:p>
    <w:p>
      <w:pPr>
        <w:pStyle w:val="BodyText"/>
      </w:pPr>
      <w:r>
        <w:t xml:space="preserve">Among nutrition-focused RCTs of AI-based dietary management in type 2 diabetes, Lee et al. conducted a 48-week open-label multicenter trial (n=294). HbA1c decreased at 24 weeks by -0.32±0.58% (platform self-use) and -0.49±0.57% (platform plus medical team feedback and intermittent continuous glucose monitoring) versus -0.06±0.61% (routine care), and at 48 weeks by -0.28±0.56% and -0.44±0.62% versus +0.07±0.78%, respectively [35]. These findings provide empirical support for</w:t>
      </w:r>
      <w:r>
        <w:t xml:space="preserve"> </w:t>
      </w:r>
      <w:r>
        <w:rPr>
          <w:i/>
          <w:iCs/>
        </w:rPr>
        <w:t xml:space="preserve">human-in-the-loop</w:t>
      </w:r>
      <w:r>
        <w:t xml:space="preserve"> </w:t>
      </w:r>
      <w:r>
        <w:t xml:space="preserve">deployment in higher-risk populations.</w:t>
      </w:r>
    </w:p>
    <w:p>
      <w:pPr>
        <w:pStyle w:val="BodyText"/>
      </w:pPr>
      <w:r>
        <w:t xml:space="preserve">A late-2025 pragmatic noninferiority RCT in adults with prediabetes and overweight/obesity compared referral to a fully automated AI-led Diabetes Prevention Program (DPP)—a structured lifestyle intervention combining dietary modification and physical activity counseling—with a human-led DPP over 12 months. The primary composite outcome was achieved by 31.7% vs 31.9% of participants (risk difference, -0.2%; one-sided 95% CI, -8.2%), meeting prespecified noninferiority criteria [36]. While not LLM-specific, this trial provides a higher bar for long-term comparative effectiveness of automated AI delivery.</w:t>
      </w:r>
    </w:p>
    <w:p>
      <w:pPr>
        <w:pStyle w:val="BodyText"/>
      </w:pPr>
      <w:r>
        <w:t xml:space="preserve">Real-world observational evidence also exists. In a retrospective cohort of 1,853 participants completing one year in a commercial Digital Twin program—which uses continuous glucose monitoring data, dietary intake, and AI-driven personalized recommendations to optimize glycemic control—HbA1c decreased by -1.8% (SD 1.7%; p&lt;0.001) and weight by -4.8 kg (SD 6.0 kg; p&lt;0.001) [37], though nonrandomized design limits causal inference.</w:t>
      </w:r>
    </w:p>
    <w:p>
      <w:pPr>
        <w:pStyle w:val="BodyText"/>
      </w:pPr>
      <w:r>
        <w:t xml:space="preserve">Despite these examples, most intervention evidence remains short-term (&lt;6 months) and adverse-event reporting is uncommon [33]. Short-term feasibility studies reported 100% retention with modest weight loss [39], and broader digital health interventions show improvements in glycemic control and weight management [38].</w:t>
      </w:r>
    </w:p>
    <w:p>
      <w:pPr>
        <w:pStyle w:val="BodyText"/>
      </w:pPr>
      <w:r>
        <w:t xml:space="preserve">Emerging evidence addresses specialized populations. A systematic review of AI in cancer malnutrition (11 studies; N=52,228) found AI models achieved AUC &gt;0.80 for detection and reported virtual dietitian adherence of 84% [40]. A meta-analysis using demographic and health surveys found tree-based and ensemble models performed best for pediatric malnutrition prediction (e.g., wasting up to 88% accuracy) [41]. Additional work explores LLM applications for nutritional recommendations in chronic kidney disease and theoretical implications for feto-maternal health [42, 43].</w:t>
      </w:r>
      <w:r>
        <w:t xml:space="preserve"> </w:t>
      </w:r>
      <w:r>
        <w:t xml:space="preserve">Key intervention studies and outcomes are summarized in Table 3.</w:t>
      </w:r>
    </w:p>
    <w:bookmarkEnd w:id="18"/>
    <w:bookmarkEnd w:id="19"/>
    <w:bookmarkStart w:id="26" w:name="discussion"/>
    <w:p>
      <w:pPr>
        <w:pStyle w:val="Heading2"/>
      </w:pPr>
      <w:r>
        <w:t xml:space="preserve">Discussion</w:t>
      </w:r>
    </w:p>
    <w:p>
      <w:pPr>
        <w:pStyle w:val="FirstParagraph"/>
      </w:pPr>
      <w:r>
        <w:t xml:space="preserve">This scoping review synthesized 53 sources (2020–2025) evaluating LLMs and related AI systems in clinical nutrition. The evidence reveals a consistent pattern: strong performance in constrained, well-defined tasks contrasted with substantial degradation and safety failures in complex, real-world clinical scenarios.</w:t>
      </w:r>
    </w:p>
    <w:bookmarkStart w:id="20" w:name="performance-in-context"/>
    <w:p>
      <w:pPr>
        <w:pStyle w:val="Heading3"/>
      </w:pPr>
      <w:r>
        <w:t xml:space="preserve">Performance in Context</w:t>
      </w:r>
    </w:p>
    <w:p>
      <w:pPr>
        <w:pStyle w:val="FirstParagraph"/>
      </w:pPr>
      <w:r>
        <w:t xml:space="preserve">Across standardized benchmarks, top-performing models achieved high accuracy—up to 95% on dietitian licensing examinations—often exceeding historical human first-attempt pass rates [5, 15]. However, this performance ceiling applies primarily to structured question-answering contexts where answers are unambiguous and training data overlap may inflate scores. When tasks required integration of multiple clinical considerations, such as managing overlapping comorbidities in obesity care, accuracy fell below 50% across all models evaluated [20]. This gap between benchmark performance and clinical applicability represents a critical consideration for implementation planning.</w:t>
      </w:r>
    </w:p>
    <w:p>
      <w:pPr>
        <w:pStyle w:val="BodyText"/>
      </w:pPr>
      <w:r>
        <w:t xml:space="preserve">The pattern extends to dietary assessment tasks. While nutrient estimation achieved reasonable accuracy for simple foods, systematic errors emerged with increasing complexity. Image-based systems consistently underestimated portion sizes—a limitation with direct clinical implications when precise energy or protein targets are required, as in oncology nutrition support or renal dietetics [27, 28]. Hybrid architectures that constrain LLM outputs using structured nutritional databases substantially improved precision, suggesting that retrieval-augmented generation approaches may offer a pathway toward clinical-grade accuracy [12]. Nevertheless, high accuracy in controlled benchmarks often masks critical vulnerabilities that emerge in dynamic clinical environments—a discrepancy that becomes particularly evident when models are subjected to adversarial testing.</w:t>
      </w:r>
    </w:p>
    <w:bookmarkEnd w:id="20"/>
    <w:bookmarkStart w:id="21" w:name="safety-as-a-central-concern"/>
    <w:p>
      <w:pPr>
        <w:pStyle w:val="Heading3"/>
      </w:pPr>
      <w:r>
        <w:t xml:space="preserve">Safety as a Central Concern</w:t>
      </w:r>
    </w:p>
    <w:p>
      <w:pPr>
        <w:pStyle w:val="FirstParagraph"/>
      </w:pPr>
      <w:r>
        <w:t xml:space="preserve">These performance limitations gain urgency when considered alongside documented safety vulnerabilities, which emerged not as incidental findings but as a defining characteristic of current LLM applications in nutrition. Hallucination rates of 50–82% under adversarial conditions [30], allergen inclusion errors in therapeutic diets [7], and fabricated citations undermining verification [8] together suggest that unmitigated LLM deployment poses measurable patient risk. Mitigation strategies—such as explicit prompting to avoid fabrication—reduced but did not eliminate these failures, with GPT-4o hallucination rates declining from 53% to 23% with mitigation prompts [30]. These findings underscore that technical safeguards alone are insufficient; human oversight remains essential.</w:t>
      </w:r>
    </w:p>
    <w:p>
      <w:pPr>
        <w:pStyle w:val="BodyText"/>
      </w:pPr>
      <w:r>
        <w:t xml:space="preserve">Beyond direct clinical errors, LLM susceptibility to targeted misinformation attacks raises governance concerns [32]. The potential for content manipulation, combined with documented inconsistencies in eating disorder and body image contexts [31], reinforces the need for particularly cautious implementation in vulnerable populations. Given these documented safety profiles, the critical question shifts from whether models can plausibly answer questions to whether they can demonstrably improve patient outcomes without introducing harm in controlled interventional settings.</w:t>
      </w:r>
    </w:p>
    <w:bookmarkEnd w:id="21"/>
    <w:bookmarkStart w:id="22" w:name="Xbd90f6a4382b7eb9e1214fe79a9735d39e56d32"/>
    <w:p>
      <w:pPr>
        <w:pStyle w:val="Heading3"/>
      </w:pPr>
      <w:r>
        <w:t xml:space="preserve">Clinical Evidence and Implementation Pathways</w:t>
      </w:r>
    </w:p>
    <w:p>
      <w:pPr>
        <w:pStyle w:val="FirstParagraph"/>
      </w:pPr>
      <w:r>
        <w:t xml:space="preserve">Despite extensive benchmarking, clinical outcome evidence remains limited. The 48-week RCT by Lee et al. demonstrated that AI-based dietary management platforms—when combined with medical team feedback—produced greater HbA1c reductions than routine care in type 2 diabetes [35]. Similarly, a 12-month pragmatic trial showed noninferiority of automated AI-led Diabetes Prevention Program delivery compared with human-led programs [36]. These findings provide preliminary support for</w:t>
      </w:r>
      <w:r>
        <w:t xml:space="preserve"> </w:t>
      </w:r>
      <w:r>
        <w:rPr>
          <w:i/>
          <w:iCs/>
        </w:rPr>
        <w:t xml:space="preserve">human-in-the-loop</w:t>
      </w:r>
      <w:r>
        <w:t xml:space="preserve"> </w:t>
      </w:r>
      <w:r>
        <w:t xml:space="preserve">deployment models, though neither trial specifically evaluated LLM-based systems. Distinctions should be drawn between behavioral lifestyle interventions—where the Mathioudakis trial [36] demonstrated success—and complex medical nutrition therapy for patients with acute illness or multiple comorbidities, where safety margins for error are substantially narrower and the consequences of hallucinations or allergen errors more severe.</w:t>
      </w:r>
    </w:p>
    <w:p>
      <w:pPr>
        <w:pStyle w:val="BodyText"/>
      </w:pPr>
      <w:r>
        <w:t xml:space="preserve">For clinical dietitians, LLMs may offer practical utility in information synthesis, guideline retrieval, and documentation support. However, professional judgment remains indispensable for complex cases, individualized medical nutrition therapy, and any safety-critical decisions. Direct-to-consumer AI nutrition tools warrant particular caution given documented failure modes, especially for patients with multiple comorbidities or dietary restrictions requiring precision.</w:t>
      </w:r>
    </w:p>
    <w:bookmarkEnd w:id="22"/>
    <w:bookmarkStart w:id="23" w:name="regulatory-and-equity-considerations"/>
    <w:p>
      <w:pPr>
        <w:pStyle w:val="Heading3"/>
      </w:pPr>
      <w:r>
        <w:t xml:space="preserve">Regulatory and Equity Considerations</w:t>
      </w:r>
    </w:p>
    <w:p>
      <w:pPr>
        <w:pStyle w:val="FirstParagraph"/>
      </w:pPr>
      <w:r>
        <w:t xml:space="preserve">The regulatory landscape for AI in clinical nutrition remains fragmented and evolving. AI systems generating personalized nutrition recommendations or clinical decision support may fall under medical software frameworks—such as the U.S. FDA’s Software as a Medical Device (SaMD) guidance—requiring clinical evaluation, documentation of intended use, and ongoing post-market monitoring [45]. The European Union’s Artificial Intelligence Act classifies AI systems in healthcare as high-risk, imposing requirements for transparency, traceability, human oversight, and risk management throughout the system lifecycle [46]. WHO guidance emphasizes governance principles including transparency, data quality, clinical assessment, and external validation, while cautioning against deployment without adequate evidence of safety and efficacy [9].</w:t>
      </w:r>
    </w:p>
    <w:p>
      <w:pPr>
        <w:pStyle w:val="BodyText"/>
      </w:pPr>
      <w:r>
        <w:t xml:space="preserve">Several practical implications emerge from this regulatory environment. First, accountability pathways remain unclear when AI-generated recommendations contribute to adverse outcomes—particularly in direct-to-consumer applications where no healthcare professional mediates the interaction. Second, privacy concerns are heightened given the sensitivity of dietary and health data, which may reveal religious practices, medical conditions, or socioeconomic status. Third, the pace of model updates (often quarterly for frontier LLMs) creates challenges for regulatory approval processes designed for static software versions.</w:t>
      </w:r>
    </w:p>
    <w:p>
      <w:pPr>
        <w:pStyle w:val="BodyText"/>
      </w:pPr>
      <w:r>
        <w:t xml:space="preserve">The geographic concentration of evidence in Europe (n=17), North America (n=14), and Asia (n=11)—with no included sources from Africa or South America—raises equity concerns. LLM performance on non-Western cuisines, religious dietary restrictions (e.g., halal, kosher, Hindu vegetarian practices), and culturally specific food preparations remains inadequately evaluated. This evidence gap risks exacerbating existing healthcare disparities if systems trained predominantly on Western dietary patterns are deployed globally without culturally appropriate validation. Practical safeguards and ethical considerations are summarized in Supplementary Table S3.</w:t>
      </w:r>
    </w:p>
    <w:bookmarkEnd w:id="23"/>
    <w:bookmarkStart w:id="24" w:name="future-research-priorities"/>
    <w:p>
      <w:pPr>
        <w:pStyle w:val="Heading3"/>
      </w:pPr>
      <w:r>
        <w:t xml:space="preserve">Future Research Priorities</w:t>
      </w:r>
    </w:p>
    <w:p>
      <w:pPr>
        <w:pStyle w:val="FirstParagraph"/>
      </w:pPr>
      <w:r>
        <w:t xml:space="preserve">Three priority areas emerge from this synthesis. First, the field requires nutrition-specific public benchmarks covering macronutrient calculations, guideline adherence, multimorbidity reasoning, cultural appropriateness, and allergen safety—analogous to established evaluation platforms in adjacent domains [47, 48]. Second, rigorous long-term trials (≥12 months) with prespecified safety endpoints and systematic adverse-event reporting are needed to move beyond feasibility toward clinical adoption. Third, technical development should prioritize retrieval-augmented architectures grounded in authoritative guidelines, with standardized safety stress testing and transparent reporting of model versions, prompts, and evaluation datasets.</w:t>
      </w:r>
    </w:p>
    <w:bookmarkEnd w:id="24"/>
    <w:bookmarkStart w:id="25" w:name="limitations"/>
    <w:p>
      <w:pPr>
        <w:pStyle w:val="Heading3"/>
      </w:pPr>
      <w:r>
        <w:t xml:space="preserve">Limitations</w:t>
      </w:r>
    </w:p>
    <w:p>
      <w:pPr>
        <w:pStyle w:val="FirstParagraph"/>
      </w:pPr>
      <w:r>
        <w:t xml:space="preserve">This review has several limitations that should be considered when interpreting findings.</w:t>
      </w:r>
    </w:p>
    <w:p>
      <w:pPr>
        <w:pStyle w:val="BodyText"/>
      </w:pPr>
      <w:r>
        <w:rPr>
          <w:b/>
          <w:bCs/>
        </w:rPr>
        <w:t xml:space="preserve">Rapidly evolving technology.</w:t>
      </w:r>
      <w:r>
        <w:t xml:space="preserve"> </w:t>
      </w:r>
      <w:r>
        <w:t xml:space="preserve">The evidence reflects model capabilities up to September 2025. Given the pace of LLM development—with new model generations releasing every 3–6 months—findings may not fully represent current or near-future systems. Technical reports describe capabilities of newer models (e.g., Gemini 2.5) [44], but peer-reviewed nutrition-specific validation lags substantially behind commercial releases.</w:t>
      </w:r>
    </w:p>
    <w:p>
      <w:pPr>
        <w:pStyle w:val="BodyText"/>
      </w:pPr>
      <w:r>
        <w:rPr>
          <w:b/>
          <w:bCs/>
        </w:rPr>
        <w:t xml:space="preserve">Absence of standardized benchmarks.</w:t>
      </w:r>
      <w:r>
        <w:t xml:space="preserve"> </w:t>
      </w:r>
      <w:r>
        <w:t xml:space="preserve">Clinical nutrition lacks publicly accessible, reproducible evaluation datasets. Current assessments often rely on regional licensing examinations without public test sets, limiting reproducibility and raising concerns about potential training data contamination [5]. This represents critical infrastructure that the field must develop.</w:t>
      </w:r>
    </w:p>
    <w:p>
      <w:pPr>
        <w:pStyle w:val="BodyText"/>
      </w:pPr>
      <w:r>
        <w:rPr>
          <w:b/>
          <w:bCs/>
        </w:rPr>
        <w:t xml:space="preserve">Publication lag.</w:t>
      </w:r>
      <w:r>
        <w:t xml:space="preserve"> </w:t>
      </w:r>
      <w:r>
        <w:t xml:space="preserve">Peer-review cycles of 6–18 months mean published studies typically evaluate models 1–2 generations old. This creates an inherent tension between scientific rigor and practical relevance, with practitioners either implementing under-validated new systems or relying on outdated evidence.</w:t>
      </w:r>
    </w:p>
    <w:p>
      <w:pPr>
        <w:pStyle w:val="BodyText"/>
      </w:pPr>
      <w:r>
        <w:rPr>
          <w:b/>
          <w:bCs/>
        </w:rPr>
        <w:t xml:space="preserve">Geographic and cultural bias.</w:t>
      </w:r>
      <w:r>
        <w:t xml:space="preserve"> </w:t>
      </w:r>
      <w:r>
        <w:t xml:space="preserve">The concentration of evidence from high-income Western and Asian contexts limits generalizability. Evaluations in languages other than English were uncommon, and no included sources specifically addressed cultural dietary practices, religious restrictions, or traditional cuisines from underrepresented regions.</w:t>
      </w:r>
    </w:p>
    <w:p>
      <w:pPr>
        <w:pStyle w:val="BodyText"/>
      </w:pPr>
      <w:r>
        <w:rPr>
          <w:b/>
          <w:bCs/>
        </w:rPr>
        <w:t xml:space="preserve">Methodological heterogeneity.</w:t>
      </w:r>
      <w:r>
        <w:t xml:space="preserve"> </w:t>
      </w:r>
      <w:r>
        <w:t xml:space="preserve">Wide variability in study designs, outcome measures, prompting strategies, and model versions prevented quantitative meta-analysis. While this reflects the field’s emerging status, it limits the strength of conclusions and highlights the need for standardized evaluation protocols.</w:t>
      </w:r>
    </w:p>
    <w:p>
      <w:pPr>
        <w:pStyle w:val="BodyText"/>
      </w:pPr>
      <w:r>
        <w:t xml:space="preserve">Finally, beyond LLM-centric evaluations, included sources also encompassed broader AI-enabled nutrition interventions and evidence syntheses relevant to implementation context (e.g., an RCT of personalized nutrition and cardiometabolic health [49], systematic reviews of smartphone-based healthy eating interventions [50] and AI/ML/DL applications in nutrition [51], and an assessment of AI consistency/accuracy for nutritional information [52]), alongside narrative overviews focused on LLMs in clinical nutrition and AI for nutrition education [53, 54].</w:t>
      </w:r>
    </w:p>
    <w:bookmarkEnd w:id="25"/>
    <w:bookmarkEnd w:id="26"/>
    <w:bookmarkStart w:id="27" w:name="conclusions"/>
    <w:p>
      <w:pPr>
        <w:pStyle w:val="Heading2"/>
      </w:pPr>
      <w:r>
        <w:t xml:space="preserve">Conclusions</w:t>
      </w:r>
    </w:p>
    <w:p>
      <w:pPr>
        <w:pStyle w:val="FirstParagraph"/>
      </w:pPr>
      <w:r>
        <w:t xml:space="preserve">This scoping review of 53 sources reveals that LLMs demonstrate strong performance in constrained tasks but exhibit clinically important weaknesses in complex scenarios. Accuracy fell below 50% in multi-comorbidity contexts, and image-based dietary assessment showed systematic portion-size underestimation with implications for precision nutrition care.</w:t>
      </w:r>
    </w:p>
    <w:p>
      <w:pPr>
        <w:pStyle w:val="BodyText"/>
      </w:pPr>
      <w:r>
        <w:t xml:space="preserve">Safety concerns are central, not peripheral: hallucination rates of 50–82% under adversarial conditions, allergen inclusion errors, and fabricated citations were repeatedly documented. These findings support a conservative clinical posture—autonomous deployment for medical nutrition therapy is premature.</w:t>
      </w:r>
    </w:p>
    <w:p>
      <w:pPr>
        <w:pStyle w:val="BodyText"/>
      </w:pPr>
      <w:r>
        <w:t xml:space="preserve">If implemented, LLMs should be restricted to supervised decision support with proportionate safeguards: retrieval-augmented architectures, local validation, documentation of AI involvement, audit trails, and predefined escalation triggers. Advancing the field requires nutrition-specific public benchmarks and long-term trials with prespecified safety endpoints, building on emerging RCT evidence [35, 36] and prioritizing equity-focused evaluation across diverse populations.</w:t>
      </w:r>
    </w:p>
    <w:bookmarkEnd w:id="27"/>
    <w:bookmarkStart w:id="28" w:name="author-contributions"/>
    <w:p>
      <w:pPr>
        <w:pStyle w:val="Heading2"/>
      </w:pPr>
      <w:r>
        <w:t xml:space="preserve">AUTHOR CONTRIBUTIONS</w:t>
      </w:r>
    </w:p>
    <w:p>
      <w:pPr>
        <w:pStyle w:val="FirstParagraph"/>
      </w:pPr>
      <w:r>
        <w:t xml:space="preserve">E.W.M.A. conceived the study and led the writing. V.R.M. and R.D.M. conducted the literature screening and selection of sources. E.W.M.A., V.R.M., and R.D.M. performed data extraction. F.B.B. and D.T.C. supervised the project and provided critical revision for important intellectual content. All authors reviewed and approved the final manuscript.</w:t>
      </w:r>
    </w:p>
    <w:bookmarkEnd w:id="28"/>
    <w:bookmarkStart w:id="29" w:name="funding"/>
    <w:p>
      <w:pPr>
        <w:pStyle w:val="Heading2"/>
      </w:pPr>
      <w:r>
        <w:t xml:space="preserve">FUNDING</w:t>
      </w:r>
    </w:p>
    <w:p>
      <w:pPr>
        <w:pStyle w:val="FirstParagraph"/>
      </w:pPr>
      <w:r>
        <w:t xml:space="preserve">E.W.M.A. was supported by the São Paulo Research Foundation (FAPESP; grant #2025/06258-7). D.T.C. acknowledges support from the National Council for Scientific and Technological Development (CNPq; grant #304542/2024-5). The funders had no role in the study design, data collection, data analysis, interpretation, or decision to publish.</w:t>
      </w:r>
    </w:p>
    <w:bookmarkEnd w:id="29"/>
    <w:bookmarkStart w:id="30" w:name="ethical-approval"/>
    <w:p>
      <w:pPr>
        <w:pStyle w:val="Heading2"/>
      </w:pPr>
      <w:r>
        <w:t xml:space="preserve">ETHICAL APPROVAL</w:t>
      </w:r>
    </w:p>
    <w:p>
      <w:pPr>
        <w:pStyle w:val="FirstParagraph"/>
      </w:pPr>
      <w:r>
        <w:t xml:space="preserve">Not applicable. This scoping review used publicly available published sources and did not involve human participants, animal experiments, or identifiable personal data; therefore, ethical approval was not required.</w:t>
      </w:r>
    </w:p>
    <w:bookmarkEnd w:id="30"/>
    <w:bookmarkStart w:id="31" w:name="competing-interests"/>
    <w:p>
      <w:pPr>
        <w:pStyle w:val="Heading2"/>
      </w:pPr>
      <w:r>
        <w:t xml:space="preserve">COMPETING INTERESTS</w:t>
      </w:r>
    </w:p>
    <w:p>
      <w:pPr>
        <w:pStyle w:val="FirstParagraph"/>
      </w:pPr>
      <w:r>
        <w:t xml:space="preserve">The authors declare no competing interests.</w:t>
      </w:r>
    </w:p>
    <w:bookmarkEnd w:id="31"/>
    <w:bookmarkStart w:id="32" w:name="technology-use-statement"/>
    <w:p>
      <w:pPr>
        <w:pStyle w:val="Heading2"/>
      </w:pPr>
      <w:r>
        <w:t xml:space="preserve">TECHNOLOGY USE STATEMENT</w:t>
      </w:r>
    </w:p>
    <w:p>
      <w:pPr>
        <w:pStyle w:val="FirstParagraph"/>
      </w:pPr>
      <w:r>
        <w:t xml:space="preserve">During manuscript preparation, the authors used AI-assisted language tools to refine Boolean search strings, improve readability/grammar, and support reference formatting checks. All outputs were reviewed and validated by the authors, who take full responsibility for the content. No AI tools were used for screening, data extraction, analysis, result interpretation, or formulation of conclusions.</w:t>
      </w:r>
    </w:p>
    <w:bookmarkEnd w:id="32"/>
    <w:bookmarkStart w:id="33" w:name="data-availability-statement"/>
    <w:p>
      <w:pPr>
        <w:pStyle w:val="Heading2"/>
      </w:pPr>
      <w:r>
        <w:t xml:space="preserve">DATA AVAILABILITY STATEMENT</w:t>
      </w:r>
    </w:p>
    <w:p>
      <w:pPr>
        <w:pStyle w:val="FirstParagraph"/>
      </w:pPr>
      <w:r>
        <w:t xml:space="preserve">All data were extracted from publicly available sources. Full citations and extraction data for all 53 included sources are provided in Supplementary Table S1, and full search strings are provided in Supplementary File S3. The PRISMA-ScR checklist is available as Supplementary File S2. The review protocol was not prospectively registered. Additional details are available from the corresponding author upon reasonable request.</w:t>
      </w:r>
    </w:p>
    <w:bookmarkEnd w:id="33"/>
    <w:bookmarkStart w:id="34" w:name="supplementary-information"/>
    <w:p>
      <w:pPr>
        <w:pStyle w:val="Heading2"/>
      </w:pPr>
      <w:r>
        <w:t xml:space="preserve">SUPPLEMENTARY INFORMATION</w:t>
      </w:r>
    </w:p>
    <w:p>
      <w:pPr>
        <w:pStyle w:val="FirstParagraph"/>
      </w:pPr>
      <w:r>
        <w:t xml:space="preserve">Supplementary Table S1 (XLSX): Full citations and extraction dataset (n=53). Supplementary File S3 Search Strings (XLSX): Database-specific queries. Supplementary Information (PDF): PRISMA-ScR checklist (S2), complete search strategy (S3), and ethical/governance safeguards framework (Table S3).</w:t>
      </w:r>
    </w:p>
    <w:bookmarkEnd w:id="34"/>
    <w:bookmarkStart w:id="35" w:name="references"/>
    <w:p>
      <w:pPr>
        <w:pStyle w:val="Heading2"/>
      </w:pPr>
      <w:r>
        <w:t xml:space="preserve">References</w:t>
      </w:r>
    </w:p>
    <w:p>
      <w:pPr>
        <w:pStyle w:val="Compact"/>
        <w:numPr>
          <w:ilvl w:val="0"/>
          <w:numId w:val="1001"/>
        </w:numPr>
      </w:pPr>
      <w:r>
        <w:t xml:space="preserve">Panayotova GG. Artificial Intelligence in Nutrition and Dietetics: A Comprehensive Review of Current Research. Healthcare. 2025;13(20):2579. doi:10.3390/healthcare13202579</w:t>
      </w:r>
    </w:p>
    <w:p>
      <w:pPr>
        <w:pStyle w:val="Compact"/>
        <w:numPr>
          <w:ilvl w:val="0"/>
          <w:numId w:val="1001"/>
        </w:numPr>
      </w:pPr>
      <w:r>
        <w:t xml:space="preserve">Bayram HM, Ozturkcan A. Applications of generative and predictive AI in nutrition and dietetics: a narrative review. Informatics for Health and Social Care. 2025;50(3-4):133-156. doi:10.1080/17538157.2025.2560834</w:t>
      </w:r>
    </w:p>
    <w:p>
      <w:pPr>
        <w:pStyle w:val="Compact"/>
        <w:numPr>
          <w:ilvl w:val="0"/>
          <w:numId w:val="1001"/>
        </w:numPr>
      </w:pPr>
      <w:r>
        <w:t xml:space="preserve">Yang R, Ning Y, Keppo E, Liu M, Hong C, Bitterman DS, et al. Retrieval-augmented generation for generative artificial intelligence in health care. npj Health Systems. 2025;2(1):2. doi:10.1038/s44401-024-00004-1</w:t>
      </w:r>
    </w:p>
    <w:p>
      <w:pPr>
        <w:pStyle w:val="Compact"/>
        <w:numPr>
          <w:ilvl w:val="0"/>
          <w:numId w:val="1001"/>
        </w:numPr>
      </w:pPr>
      <w:r>
        <w:t xml:space="preserve">Huang L, Yu W, Ma W, Zhong W, Feng Z, Wang H, et al. A Survey on Hallucination in Large Language Models: Principles, Taxonomy, Challenges, and Open Questions. ACM Transactions on Information Systems. 2025;43(2):1-55. doi:10.1145/3703155</w:t>
      </w:r>
    </w:p>
    <w:p>
      <w:pPr>
        <w:pStyle w:val="Compact"/>
        <w:numPr>
          <w:ilvl w:val="0"/>
          <w:numId w:val="1001"/>
        </w:numPr>
      </w:pPr>
      <w:r>
        <w:t xml:space="preserve">Azimi I, Qi M, Wang L, Rahmani AM, Li Y. Evaluation of LLMs accuracy and consistency in the registered dietitian exam through prompt engineering and knowledge retrieval. Scientific Reports. 2025;15(1):1506. doi:10.1038/s41598-024-85003-w</w:t>
      </w:r>
    </w:p>
    <w:p>
      <w:pPr>
        <w:pStyle w:val="Compact"/>
        <w:numPr>
          <w:ilvl w:val="0"/>
          <w:numId w:val="1001"/>
        </w:numPr>
      </w:pPr>
      <w:r>
        <w:t xml:space="preserve">International Confederation of Dietetic Associations. Dietitian-nutritionists around the world: Education and Work Report 2021. 2021. Available from: https://internationaldietetics.org/wp-content/uploads/2023/11/Education-and-Work-Report-2021.pdf (accessed 2026-01-15).</w:t>
      </w:r>
    </w:p>
    <w:p>
      <w:pPr>
        <w:pStyle w:val="Compact"/>
        <w:numPr>
          <w:ilvl w:val="0"/>
          <w:numId w:val="1001"/>
        </w:numPr>
      </w:pPr>
      <w:r>
        <w:t xml:space="preserve">Niszczota P, Rybicka I. The credibility of dietary advice formulated by ChatGPT: Robo-diets for people with food allergies. Nutrition. 2023;112:112076. doi:10.1016/j.nut.2023.112076</w:t>
      </w:r>
    </w:p>
    <w:p>
      <w:pPr>
        <w:pStyle w:val="Compact"/>
        <w:numPr>
          <w:ilvl w:val="0"/>
          <w:numId w:val="1001"/>
        </w:numPr>
      </w:pPr>
      <w:r>
        <w:t xml:space="preserve">Chatelan A, Clerc A, Fonta PA. ChatGPT and Future Artificial Intelligence Chatbots: What may be the Influence on Credentialed Nutrition and Dietetics Practitioners?. Journal of the Academy of Nutrition and Dietetics. 2023;123(11):1525-1531. doi:10.1016/j.jand.2023.08.001</w:t>
      </w:r>
    </w:p>
    <w:p>
      <w:pPr>
        <w:pStyle w:val="Compact"/>
        <w:numPr>
          <w:ilvl w:val="0"/>
          <w:numId w:val="1001"/>
        </w:numPr>
      </w:pPr>
      <w:r>
        <w:t xml:space="preserve">World Health Organization. Ethics and governance of artificial intelligence for health: WHO guidance. 2023. Available from: https://www.who.int/publications/i/item/9789240074682 (accessed 2026-01-15).</w:t>
      </w:r>
    </w:p>
    <w:p>
      <w:pPr>
        <w:pStyle w:val="Compact"/>
        <w:numPr>
          <w:ilvl w:val="0"/>
          <w:numId w:val="1001"/>
        </w:numPr>
      </w:pPr>
      <w:r>
        <w:t xml:space="preserve">Tricco AC, Lillie E, Zarin W, O’Brien KK, Colquhoun H, Levac D, et al. PRISMA Extension for Scoping Reviews (PRISMA-ScR): Checklist and Explanation. Annals of Internal Medicine. 2018;169(7):467-473. doi:10.7326/m18-0850</w:t>
      </w:r>
    </w:p>
    <w:p>
      <w:pPr>
        <w:pStyle w:val="Compact"/>
        <w:numPr>
          <w:ilvl w:val="0"/>
          <w:numId w:val="1001"/>
        </w:numPr>
      </w:pPr>
      <w:r>
        <w:t xml:space="preserve">Zhou P, Min W, Fu C, Jin Y, Huang M, Li X, et al. FoodSky: A food-oriented large language model that can pass the chef and dietetic examinations. Patterns. 2025;6(5):101234. doi:10.1016/j.patter.2025.101234</w:t>
      </w:r>
    </w:p>
    <w:p>
      <w:pPr>
        <w:pStyle w:val="Compact"/>
        <w:numPr>
          <w:ilvl w:val="0"/>
          <w:numId w:val="1001"/>
        </w:numPr>
      </w:pPr>
      <w:r>
        <w:t xml:space="preserve">Papastratis I, Konstantinidis D, Daras P, Dimitropoulos K. AI nutrition recommendation using a deep generative model and ChatGPT. Scientific Reports. 2024;14(1):14620. doi:10.1038/s41598-024-65438-x</w:t>
      </w:r>
    </w:p>
    <w:p>
      <w:pPr>
        <w:pStyle w:val="Compact"/>
        <w:numPr>
          <w:ilvl w:val="0"/>
          <w:numId w:val="1001"/>
        </w:numPr>
      </w:pPr>
      <w:r>
        <w:t xml:space="preserve">Gavai AK, van Hillegersberg J. AI-driven personalized nutrition: RAG-based digital health solution for obesity and type 2 diabetes. PLOS Digital Health. 2025;4(5):e0000758. doi:10.1371/journal.pdig.0000758</w:t>
      </w:r>
    </w:p>
    <w:p>
      <w:pPr>
        <w:pStyle w:val="Compact"/>
        <w:numPr>
          <w:ilvl w:val="0"/>
          <w:numId w:val="1001"/>
        </w:numPr>
      </w:pPr>
      <w:r>
        <w:t xml:space="preserve">Hou Y, Bishop JR, Liu H, Zhang R. Improving Dietary Supplement Information Retrieval: Development of a Retrieval-Augmented Generation System With Large Language Models. Journal of Medical Internet Research. 2025;27:e67677. doi:10.2196/67677</w:t>
      </w:r>
    </w:p>
    <w:p>
      <w:pPr>
        <w:pStyle w:val="Compact"/>
        <w:numPr>
          <w:ilvl w:val="0"/>
          <w:numId w:val="1001"/>
        </w:numPr>
      </w:pPr>
      <w:r>
        <w:t xml:space="preserve">Commission on Dietetic Registration. Registered Dietitian Nutritionist Credentialing Exam statistics and reports. 2024. Available from: https://www.cdrnet.org/RDExamStats (accessed 2026-01-15).</w:t>
      </w:r>
    </w:p>
    <w:p>
      <w:pPr>
        <w:pStyle w:val="Compact"/>
        <w:numPr>
          <w:ilvl w:val="0"/>
          <w:numId w:val="1001"/>
        </w:numPr>
      </w:pPr>
      <w:r>
        <w:t xml:space="preserve">Solomon TPJ, Laye MJ. The sports nutrition knowledge of large language model (LLM) artificial intelligence (AI) chatbots: An assessment of accuracy, completeness, clarity, quality of evidence, and test-retest reliability. PLOS One. 2025;20(6):e0325982. doi:10.1371/journal.pone.0325982</w:t>
      </w:r>
    </w:p>
    <w:p>
      <w:pPr>
        <w:pStyle w:val="Compact"/>
        <w:numPr>
          <w:ilvl w:val="0"/>
          <w:numId w:val="1001"/>
        </w:numPr>
      </w:pPr>
      <w:r>
        <w:t xml:space="preserve">Kaya Kaçar H, Kaçar ÖF, Avery A. Diet Quality and Caloric Accuracy in AI-Generated Diet Plans: A Comparative Study Across Chatbots. Nutrients. 2025;17(2):206. doi:10.3390/nu17020206</w:t>
      </w:r>
    </w:p>
    <w:p>
      <w:pPr>
        <w:pStyle w:val="Compact"/>
        <w:numPr>
          <w:ilvl w:val="0"/>
          <w:numId w:val="1001"/>
        </w:numPr>
      </w:pPr>
      <w:r>
        <w:t xml:space="preserve">Liao LL, Chang LC, Lai IJ. Assessing the Quality of ChatGPT’s Dietary Advice for College Students from Dietitians’ Perspectives. Nutrients. 2024;16(12):1939. doi:10.3390/nu16121939</w:t>
      </w:r>
    </w:p>
    <w:p>
      <w:pPr>
        <w:pStyle w:val="Compact"/>
        <w:numPr>
          <w:ilvl w:val="0"/>
          <w:numId w:val="1001"/>
        </w:numPr>
      </w:pPr>
      <w:r>
        <w:t xml:space="preserve">Ponzo V, Goitre I, Favaro E, Merlo FD, Mancino MV, Riso S, et al. Is ChatGPT an Effective Tool for Providing Dietary Advice?. Nutrients. 2024;16(4):469. doi:10.3390/nu16040469</w:t>
      </w:r>
    </w:p>
    <w:p>
      <w:pPr>
        <w:pStyle w:val="Compact"/>
        <w:numPr>
          <w:ilvl w:val="0"/>
          <w:numId w:val="1001"/>
        </w:numPr>
      </w:pPr>
      <w:r>
        <w:t xml:space="preserve">Ponzo V, Rosato R, Scigliano MC, Onida M, Cossai S, De Vecchi M, et al. Comparison of the Accuracy, Completeness, Reproducibility, and Consistency of Different AI Chatbots in Providing Nutritional Advice: An Exploratory Study. Journal of Clinical Medicine. 2024;13(24):7810. doi:10.3390/jcm13247810</w:t>
      </w:r>
    </w:p>
    <w:p>
      <w:pPr>
        <w:pStyle w:val="Compact"/>
        <w:numPr>
          <w:ilvl w:val="0"/>
          <w:numId w:val="1001"/>
        </w:numPr>
      </w:pPr>
      <w:r>
        <w:t xml:space="preserve">Bernstein AM, Janeke P, Riggs RV, Burke E, Meyer J, Moyer MF, et al. Artificial Intelligence-Based Hospital Malnutrition Screening: Validation of a Novel Machine Learning Model. Applied Clinical Informatics. 2025;16(05):1646-1657. doi:10.1055/a-2635-3158</w:t>
      </w:r>
    </w:p>
    <w:p>
      <w:pPr>
        <w:pStyle w:val="Compact"/>
        <w:numPr>
          <w:ilvl w:val="0"/>
          <w:numId w:val="1001"/>
        </w:numPr>
      </w:pPr>
      <w:r>
        <w:t xml:space="preserve">Sun H, Zhang K, Lan W, Gu Q, Jiang G, Yang X, et al. An AI Dietitian for Type 2 Diabetes Mellitus Management Based on Large Language and Image Recognition Models: Preclinical Concept Validation Study. Journal of Medical Internet Research. 2023;25:e51300. doi:10.2196/51300</w:t>
      </w:r>
    </w:p>
    <w:p>
      <w:pPr>
        <w:pStyle w:val="Compact"/>
        <w:numPr>
          <w:ilvl w:val="0"/>
          <w:numId w:val="1001"/>
        </w:numPr>
      </w:pPr>
      <w:r>
        <w:t xml:space="preserve">Kirk D, van Eijnatten E, Camps G. Comparison of Answers between ChatGPT and Human Dieticians to Common Nutrition Questions. Journal of Nutrition and Metabolism. 2023;2023:1-9. doi:10.1155/2023/5548684</w:t>
      </w:r>
    </w:p>
    <w:p>
      <w:pPr>
        <w:pStyle w:val="Compact"/>
        <w:numPr>
          <w:ilvl w:val="0"/>
          <w:numId w:val="1001"/>
        </w:numPr>
      </w:pPr>
      <w:r>
        <w:t xml:space="preserve">Kim DW, Park JS, Sharma K, Velazquez A, Li L, Ostrominski JW, et al. Qualitative evaluation of artificial intelligence-generated weight management diet plans. Frontiers in Nutrition. 2024;11:1374834. doi:10.3389/fnut.2024.1374834</w:t>
      </w:r>
    </w:p>
    <w:p>
      <w:pPr>
        <w:pStyle w:val="Compact"/>
        <w:numPr>
          <w:ilvl w:val="0"/>
          <w:numId w:val="1001"/>
        </w:numPr>
      </w:pPr>
      <w:r>
        <w:t xml:space="preserve">Haman M, Školník M, Lošťák M. AI dietician: Unveiling the accuracy of ChatGPT’s nutritional estimations. Nutrition. 2024;119:112325. doi:10.1016/j.nut.2023.112325</w:t>
      </w:r>
    </w:p>
    <w:p>
      <w:pPr>
        <w:pStyle w:val="Compact"/>
        <w:numPr>
          <w:ilvl w:val="0"/>
          <w:numId w:val="1001"/>
        </w:numPr>
      </w:pPr>
      <w:r>
        <w:t xml:space="preserve">Li X, Yin A, Choi HY, Chan V, Allman-Farinelli M, Chen J. Evaluating the Quality and Comparative Validity of Manual Food Logging and Artificial Intelligence-Enabled Food Image Recognition in Apps for Nutrition Care. Nutrients. 2024;16(15):2573. doi:10.3390/nu16152573</w:t>
      </w:r>
    </w:p>
    <w:p>
      <w:pPr>
        <w:pStyle w:val="Compact"/>
        <w:numPr>
          <w:ilvl w:val="0"/>
          <w:numId w:val="1001"/>
        </w:numPr>
      </w:pPr>
      <w:r>
        <w:t xml:space="preserve">O’Hara C, Kent G, Flynn AC, Gibney ER, Timon CM. An Evaluation of ChatGPT for Nutrient Content Estimation from Meal Photographs. Nutrients. 2025;17(4):607. doi:10.3390/nu17040607</w:t>
      </w:r>
    </w:p>
    <w:p>
      <w:pPr>
        <w:pStyle w:val="Compact"/>
        <w:numPr>
          <w:ilvl w:val="0"/>
          <w:numId w:val="1001"/>
        </w:numPr>
      </w:pPr>
      <w:r>
        <w:t xml:space="preserve">Chotwanvirat P, Prachansuwan A, Sridonpai P, Kriengsinyos W. Advancements in Using AI for Dietary Assessment Based on Food Images: Scoping Review. Journal of Medical Internet Research. 2024;26:e51432. doi:10.2196/51432</w:t>
      </w:r>
    </w:p>
    <w:p>
      <w:pPr>
        <w:pStyle w:val="Compact"/>
        <w:numPr>
          <w:ilvl w:val="0"/>
          <w:numId w:val="1001"/>
        </w:numPr>
      </w:pPr>
      <w:r>
        <w:t xml:space="preserve">Lo FPW, Qiu J, Wang Z, Chen J, Xiao B, Yuan W, et al. Dietary Assessment With Multimodal ChatGPT: A Systematic Analysis. IEEE Journal of Biomedical and Health Informatics. 2024;28(12):7577-7587. doi:10.1109/jbhi.2024.3417280</w:t>
      </w:r>
    </w:p>
    <w:p>
      <w:pPr>
        <w:pStyle w:val="Compact"/>
        <w:numPr>
          <w:ilvl w:val="0"/>
          <w:numId w:val="1001"/>
        </w:numPr>
      </w:pPr>
      <w:r>
        <w:t xml:space="preserve">Omar M, Sorin V, Collins JD, Reich D, Freeman R, Gavin N, et al. Multi-model assurance analysis showing large language models are highly vulnerable to adversarial hallucination attacks during clinical decision support. Communications Medicine. 2025;5(1):330. doi:10.1038/s43856-025-01021-3</w:t>
      </w:r>
    </w:p>
    <w:p>
      <w:pPr>
        <w:pStyle w:val="Compact"/>
        <w:numPr>
          <w:ilvl w:val="0"/>
          <w:numId w:val="1001"/>
        </w:numPr>
      </w:pPr>
      <w:r>
        <w:t xml:space="preserve">Toklu Baloğlu H. Effect of ChatGPT use on eating disorders and body image. World Journal of Psychiatry. 2025;15(8). doi:10.5498/wjp.v15.i8.107122</w:t>
      </w:r>
    </w:p>
    <w:p>
      <w:pPr>
        <w:pStyle w:val="Compact"/>
        <w:numPr>
          <w:ilvl w:val="0"/>
          <w:numId w:val="1001"/>
        </w:numPr>
      </w:pPr>
      <w:r>
        <w:t xml:space="preserve">Han T, Nebelung S, Khader F, Wang T, Müller-Franzes G, Kuhl C, et al. Medical large language models are susceptible to targeted misinformation attacks. npj Digital Medicine. 2024;7(1):288. doi:10.1038/s41746-024-01282-7</w:t>
      </w:r>
    </w:p>
    <w:p>
      <w:pPr>
        <w:pStyle w:val="Compact"/>
        <w:numPr>
          <w:ilvl w:val="0"/>
          <w:numId w:val="1001"/>
        </w:numPr>
      </w:pPr>
      <w:r>
        <w:t xml:space="preserve">Oh YJ, Zhang J, Fang ML, Fukuoka Y. A systematic review of artificial intelligence chatbots for promoting physical activity, healthy diet, and weight loss. International Journal of Behavioral Nutrition and Physical Activity. 2021;18(1):160. doi:10.1186/s12966-021-01224-6</w:t>
      </w:r>
    </w:p>
    <w:p>
      <w:pPr>
        <w:pStyle w:val="Compact"/>
        <w:numPr>
          <w:ilvl w:val="0"/>
          <w:numId w:val="1001"/>
        </w:numPr>
      </w:pPr>
      <w:r>
        <w:t xml:space="preserve">Wang X, Sun Z, Xue H, An R. Artificial Intelligence Applications to Personalized Dietary Recommendations: A Systematic Review. Healthcare. 2025;13(12):1417. doi:10.3390/healthcare13121417</w:t>
      </w:r>
    </w:p>
    <w:p>
      <w:pPr>
        <w:pStyle w:val="Compact"/>
        <w:numPr>
          <w:ilvl w:val="0"/>
          <w:numId w:val="1001"/>
        </w:numPr>
      </w:pPr>
      <w:r>
        <w:t xml:space="preserve">Lee YB, Kim G, Jun JE, Park H, Lee WJ, Hwang YC, et al. An Integrated Digital Health Care Platform for Diabetes Management With AI-Based Dietary Management: 48-Week Results From a Randomized Controlled Trial. Diabetes Care. 2023;46(5):959-966. doi:10.2337/dc22-1929</w:t>
      </w:r>
    </w:p>
    <w:p>
      <w:pPr>
        <w:pStyle w:val="Compact"/>
        <w:numPr>
          <w:ilvl w:val="0"/>
          <w:numId w:val="1001"/>
        </w:numPr>
      </w:pPr>
      <w:r>
        <w:t xml:space="preserve">Mathioudakis N, Lalani B, Abusamaan MS, Alderfer M, Alver D, Dobs A, et al. An AI-Powered Lifestyle Intervention vs Human Coaching in the Diabetes Prevention Program. JAMA. 2025;334(23):2079. doi:10.1001/jama.2025.19563</w:t>
      </w:r>
    </w:p>
    <w:p>
      <w:pPr>
        <w:pStyle w:val="Compact"/>
        <w:numPr>
          <w:ilvl w:val="0"/>
          <w:numId w:val="1001"/>
        </w:numPr>
      </w:pPr>
      <w:r>
        <w:t xml:space="preserve">Shamanna P, Erukulapati RS, Shukla A, Shah L, Willis B, Thajudeen M, et al. One-year outcomes of a digital twin intervention for type 2 diabetes: a retrospective real-world study. Scientific Reports. 2024;14(1):25478. doi:10.1038/s41598-024-76584-7</w:t>
      </w:r>
    </w:p>
    <w:p>
      <w:pPr>
        <w:pStyle w:val="Compact"/>
        <w:numPr>
          <w:ilvl w:val="0"/>
          <w:numId w:val="1001"/>
        </w:numPr>
      </w:pPr>
      <w:r>
        <w:t xml:space="preserve">Veluvali A, Dehghani Zahedani A, Hosseinian A, Aghaeepour N, McLaughlin T, Woodward M, et al. Impact of digital health interventions on glycemic control and weight management. npj Digital Medicine. 2025;8(1):20. doi:10.1038/s41746-025-01430-7</w:t>
      </w:r>
    </w:p>
    <w:p>
      <w:pPr>
        <w:pStyle w:val="Compact"/>
        <w:numPr>
          <w:ilvl w:val="0"/>
          <w:numId w:val="1001"/>
        </w:numPr>
      </w:pPr>
      <w:r>
        <w:t xml:space="preserve">Lacruz-Pleguezuelos B, Bazán GX, Romero-Tapiador S, Freixer G, Tolosana R, Daza R, et al. AI4Food, a feasibility study for the implementation of automated devices in the nutritional advice and follow up within a weight loss intervention. Clinical Nutrition. 2025;48:80-89. doi:10.1016/j.clnu.2025.03.003</w:t>
      </w:r>
    </w:p>
    <w:p>
      <w:pPr>
        <w:pStyle w:val="Compact"/>
        <w:numPr>
          <w:ilvl w:val="0"/>
          <w:numId w:val="1001"/>
        </w:numPr>
      </w:pPr>
      <w:r>
        <w:t xml:space="preserve">Sguanci M, Palomares SM, Cangelosi G, Petrelli F, Sandri E, Ferrara G, et al. Artificial Intelligence in the Management of Malnutrition in Cancer Patients: A Systematic Review. Advances in Nutrition. 2025;16(7):100438. doi:10.1016/j.advnut.2025.100438</w:t>
      </w:r>
    </w:p>
    <w:p>
      <w:pPr>
        <w:pStyle w:val="Compact"/>
        <w:numPr>
          <w:ilvl w:val="0"/>
          <w:numId w:val="1001"/>
        </w:numPr>
      </w:pPr>
      <w:r>
        <w:t xml:space="preserve">Rao B, Rashid M, Hasan MG, Thunga G. Machine Learning in Predicting Child Malnutrition: A Meta-Analysis of Demographic and Health Surveys Data. International Journal of Environmental Research and Public Health. 2025;22(3):449. doi:10.3390/ijerph22030449</w:t>
      </w:r>
    </w:p>
    <w:p>
      <w:pPr>
        <w:pStyle w:val="Compact"/>
        <w:numPr>
          <w:ilvl w:val="0"/>
          <w:numId w:val="1001"/>
        </w:numPr>
      </w:pPr>
      <w:r>
        <w:t xml:space="preserve">Bergling K, Wang LC, Shivakumar O, Nandorine Ban A, Moore LW, Ginsberg N, et al. From bytes to bites: application of large language models to enhance nutritional recommendations. Clinical Kidney Journal. 2025;18(4):sfaf082. doi:10.1093/ckj/sfaf082</w:t>
      </w:r>
    </w:p>
    <w:p>
      <w:pPr>
        <w:pStyle w:val="Compact"/>
        <w:numPr>
          <w:ilvl w:val="0"/>
          <w:numId w:val="1001"/>
        </w:numPr>
      </w:pPr>
      <w:r>
        <w:t xml:space="preserve">Yaseen I, Rather R. A Theoretical Exploration of Artificial Intelligence’s Impact on Feto-Maternal Health from Conception to Delivery. International Journal of Women’s Health. 2024;16:903-915. doi:10.2147/ijwh.s454127</w:t>
      </w:r>
    </w:p>
    <w:p>
      <w:pPr>
        <w:pStyle w:val="Compact"/>
        <w:numPr>
          <w:ilvl w:val="0"/>
          <w:numId w:val="1001"/>
        </w:numPr>
      </w:pPr>
      <w:r>
        <w:t xml:space="preserve">Comanici G, Bieber E, Schaekermann M, Pasupat I, Sachdeva N, Dhillon I, et al. Gemini 2.5: Pushing the frontier with advanced reasoning, multimodality, long context, and next generation agentic capabilities. arXiv [Preprint]. 2025. doi:10.48550/arXiv.2507.06261</w:t>
      </w:r>
    </w:p>
    <w:p>
      <w:pPr>
        <w:pStyle w:val="Compact"/>
        <w:numPr>
          <w:ilvl w:val="0"/>
          <w:numId w:val="1001"/>
        </w:numPr>
      </w:pPr>
      <w:r>
        <w:t xml:space="preserve">U.S. Food and Drug Administration. Software as a Medical Device (SaMD): Clinical evaluation - Guidance for industry and Food and Drug Administration staff. 2022. Available from: https://www.fda.gov/regulatory-information/search-fda-guidance-documents/software-medical-device-samd-clinical-evaluation (accessed 2026-01-15).</w:t>
      </w:r>
    </w:p>
    <w:p>
      <w:pPr>
        <w:pStyle w:val="Compact"/>
        <w:numPr>
          <w:ilvl w:val="0"/>
          <w:numId w:val="1001"/>
        </w:numPr>
      </w:pPr>
      <w:r>
        <w:t xml:space="preserve">European Parliament and Council of the European Union. Regulation (EU) 2024/1689 laying down harmonised rules on artificial intelligence (Artificial Intelligence Act). Official Journal of the European Union. 2024. Available from: https://eur-lex.europa.eu/eli/reg/2024/1689/oj (accessed 2026-01-15).</w:t>
      </w:r>
    </w:p>
    <w:p>
      <w:pPr>
        <w:pStyle w:val="Compact"/>
        <w:numPr>
          <w:ilvl w:val="0"/>
          <w:numId w:val="1001"/>
        </w:numPr>
      </w:pPr>
      <w:r>
        <w:t xml:space="preserve">Rein D, Hou BL, Stickland AC, Petty J, Pang RY, Dirani J, et al. GPQA: A graduate-level Google-proof Q&amp;A benchmark. arXiv [Preprint]. 2023. doi:10.48550/arXiv.2311.12022</w:t>
      </w:r>
    </w:p>
    <w:p>
      <w:pPr>
        <w:pStyle w:val="Compact"/>
        <w:numPr>
          <w:ilvl w:val="0"/>
          <w:numId w:val="1001"/>
        </w:numPr>
      </w:pPr>
      <w:r>
        <w:t xml:space="preserve">Chiang W-L, Zheng L, Sheng Y, Angelopoulos AN, Li T, Li D, et al. Chatbot Arena: An open platform for evaluating LLMs by human preference. arXiv [Preprint]. 2024. doi:10.48550/arXiv.2403.04132</w:t>
      </w:r>
    </w:p>
    <w:p>
      <w:pPr>
        <w:pStyle w:val="Compact"/>
        <w:numPr>
          <w:ilvl w:val="0"/>
          <w:numId w:val="1001"/>
        </w:numPr>
      </w:pPr>
      <w:r>
        <w:t xml:space="preserve">Bermingham KM, Linenberg I, Polidori L, Asnicar F, Arrè A, Wolf J, et al. Effects of a personalized nutrition program on cardiometabolic health: a randomized controlled trial. Nature Medicine. 2024;30(7):1888-1897. doi:10.1038/s41591-024-02951-6</w:t>
      </w:r>
    </w:p>
    <w:p>
      <w:pPr>
        <w:pStyle w:val="Compact"/>
        <w:numPr>
          <w:ilvl w:val="0"/>
          <w:numId w:val="1001"/>
        </w:numPr>
      </w:pPr>
      <w:r>
        <w:t xml:space="preserve">Seid A, Fufa DD, Bitew ZW. The use of internet-based smartphone apps consistently improved consumers’ healthy eating behaviors: a systematic review of randomized controlled trials. Frontiers in Digital Health. 2024;6:1282570. doi:10.3389/fdgth.2024.1282570</w:t>
      </w:r>
    </w:p>
    <w:p>
      <w:pPr>
        <w:pStyle w:val="Compact"/>
        <w:numPr>
          <w:ilvl w:val="0"/>
          <w:numId w:val="1001"/>
        </w:numPr>
      </w:pPr>
      <w:r>
        <w:t xml:space="preserve">Theodore Armand TP, Nfor KA, Kim JI, Kim HC. Applications of Artificial Intelligence, Machine Learning, and Deep Learning in Nutrition: A Systematic Review. Nutrients. 2024;16(7):1073. doi:10.3390/nu16071073</w:t>
      </w:r>
    </w:p>
    <w:p>
      <w:pPr>
        <w:pStyle w:val="Compact"/>
        <w:numPr>
          <w:ilvl w:val="0"/>
          <w:numId w:val="1001"/>
        </w:numPr>
      </w:pPr>
      <w:r>
        <w:t xml:space="preserve">Hoang YN, Chen YL, Ho DKN, Chiu WC, Cheah KJ, Mayasari NR, et al. Consistency and Accuracy of Artificial Intelligence for Providing Nutritional Information. JAMA Network Open. 2023;6(12):e2350367. doi:10.1001/jamanetworkopen.2023.50367</w:t>
      </w:r>
    </w:p>
    <w:p>
      <w:pPr>
        <w:pStyle w:val="Compact"/>
        <w:numPr>
          <w:ilvl w:val="0"/>
          <w:numId w:val="1001"/>
        </w:numPr>
      </w:pPr>
      <w:r>
        <w:t xml:space="preserve">Belkhouribchia J, Pen JJ. Large language models in clinical nutrition: an overview of its applications, capabilities, limitations, and potential future prospects. Frontiers in Nutrition. 2025;12:1635682. doi:10.3389/fnut.2025.1635682</w:t>
      </w:r>
    </w:p>
    <w:p>
      <w:pPr>
        <w:pStyle w:val="Compact"/>
        <w:numPr>
          <w:ilvl w:val="0"/>
          <w:numId w:val="1001"/>
        </w:numPr>
      </w:pPr>
      <w:r>
        <w:t xml:space="preserve">Nogueira-Rio N, Varela Vazquez L, Lopez-Santamarina A, Mondragon-Portocarrero A, Karav S, Miranda JM. Mobile Applications and Artificial Intelligence for Nutrition Education: A Narrative Review. Dietetics. 2024;3(4):483-503. doi:10.3390/dietetics3040035</w:t>
      </w:r>
    </w:p>
    <w:bookmarkEnd w:id="35"/>
    <w:bookmarkStart w:id="36" w:name="figure-legends"/>
    <w:p>
      <w:pPr>
        <w:pStyle w:val="Heading2"/>
      </w:pPr>
      <w:r>
        <w:t xml:space="preserve">FIGURE LEGENDS</w:t>
      </w:r>
    </w:p>
    <w:p>
      <w:pPr>
        <w:pStyle w:val="FirstParagraph"/>
      </w:pPr>
      <w:r>
        <w:t xml:space="preserve">Figure 1. PRISMA-ScR flow diagram showing literature search and source selection process. From 8,247 database records identified through multi-database searches, 49 sources were included from the primary search (Jan 2020-Sep 2025); an additional 4 sources from the bridge search (Oct-Dec 2025) yielded a final total of 53 included sources. The majority of excluded records (n=5,520) did not address LLM/AI applications in clinical nutrition contexts; full-text exclusions (n=259) were primarily due to focus on non-clinical food science applications, lack of quantitative outcomes, or non-English publication.</w:t>
      </w:r>
    </w:p>
    <w:bookmarkEnd w:id="36"/>
    <w:bookmarkStart w:id="37" w:name="table-legends"/>
    <w:p>
      <w:pPr>
        <w:pStyle w:val="Heading2"/>
      </w:pPr>
      <w:r>
        <w:t xml:space="preserve">TABLE LEGENDS</w:t>
      </w:r>
    </w:p>
    <w:p>
      <w:pPr>
        <w:pStyle w:val="FirstParagraph"/>
      </w:pPr>
      <w:r>
        <w:t xml:space="preserve">Table 1. Comparative Performance of LLMs versus Human/Expert Benchmark</w:t>
      </w:r>
    </w:p>
    <w:p>
      <w:pPr>
        <w:pStyle w:val="BodyText"/>
      </w:pPr>
      <w:r>
        <w:t xml:space="preserve">Note: RD = Registered Dietitian (USA); CoT-SC = Chain-of-Thought Self-Consistency; κ = Fleiss Kappa coefficient. Human benchmark refers to the historical first-attempt pass rate of candidates on the credentialing examination, used as baseline in comparative studies [15].</w:t>
      </w:r>
    </w:p>
    <w:p>
      <w:pPr>
        <w:pStyle w:val="BodyText"/>
      </w:pPr>
      <w:r>
        <w:t xml:space="preserve">Table 2. Safety Vulnerabilities in LLM Nutrition Applications</w:t>
      </w:r>
    </w:p>
    <w:p>
      <w:pPr>
        <w:pStyle w:val="BodyText"/>
      </w:pPr>
      <w:r>
        <w:t xml:space="preserve">Note: Rates represent documented occurrences across multiple evaluation studies.</w:t>
      </w:r>
    </w:p>
    <w:p>
      <w:pPr>
        <w:pStyle w:val="BodyText"/>
      </w:pPr>
      <w:r>
        <w:t xml:space="preserve">Table 3. Clinical Outcomes from Key Intervention Studies</w:t>
      </w:r>
    </w:p>
    <w:p>
      <w:pPr>
        <w:pStyle w:val="BodyText"/>
      </w:pPr>
      <w:r>
        <w:t xml:space="preserve">Note: HbA1c = glycated hemoglobin; T2DM = type 2 diabetes mellitus; RCT = randomized controlled trial.</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2026-01-16T22:27:01Z</dcterms:created>
  <dcterms:modified xsi:type="dcterms:W3CDTF">2026-01-16T22:27:01Z</dcterms:modified>
</cp:coreProperties>
</file>

<file path=docProps/custom.xml><?xml version="1.0" encoding="utf-8"?>
<Properties xmlns="http://schemas.openxmlformats.org/officeDocument/2006/custom-properties" xmlns:vt="http://schemas.openxmlformats.org/officeDocument/2006/docPropsVTypes"/>
</file>