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Artificial Intelligence and Large Language Models in Clinical Nutrition: A Scoping Review of Performance, Safety, and Implementation</w:t>
      </w:r>
    </w:p>
    <w:p>
      <w:pPr>
        <w:pStyle w:val="BodyText"/>
      </w:pPr>
      <w:r>
        <w:rPr>
          <w:i/>
          <w:iCs/>
        </w:rPr>
        <w:t xml:space="preserve">Running Title: LLMs in Clinical Nutrition</w:t>
      </w:r>
    </w:p>
    <w:p>
      <w:pPr>
        <w:pStyle w:val="BodyText"/>
      </w:pPr>
      <w:r>
        <w:t xml:space="preserve">Ellis Wollis Malta Abhulime¹*</w:t>
      </w:r>
      <w:r>
        <w:t xml:space="preserve"> </w:t>
      </w:r>
      <w:hyperlink r:id="rId9">
        <w:r>
          <w:rPr>
            <w:rStyle w:val="Hyperlink"/>
          </w:rPr>
          <w:t xml:space="preserve">https://orcid.org/0009-0007-5525-5085</w:t>
        </w:r>
      </w:hyperlink>
      <w:r>
        <w:t xml:space="preserve">, Vicente Rossi Mônaco¹ https://orcid.org/0009-0000-7032-9889, Rafael Delgado de Melo https://orcid.org/0009-0003-5861-2296¹, Fabiana Braga Benatti¹</w:t>
      </w:r>
      <w:r>
        <w:t xml:space="preserve"> </w:t>
      </w:r>
      <w:hyperlink r:id="rId10">
        <w:r>
          <w:rPr>
            <w:rStyle w:val="Hyperlink"/>
          </w:rPr>
          <w:t xml:space="preserve">https://orcid.org/0000-0002-8320-7044</w:t>
        </w:r>
      </w:hyperlink>
      <w:r>
        <w:t xml:space="preserve">, Diogo Thimoteo da Cunha¹</w:t>
      </w:r>
      <w:r>
        <w:t xml:space="preserve"> </w:t>
      </w:r>
      <w:hyperlink r:id="rId11">
        <w:r>
          <w:rPr>
            <w:rStyle w:val="Hyperlink"/>
          </w:rPr>
          <w:t xml:space="preserve">https://orcid.org/0000-0001-5928-9265</w:t>
        </w:r>
      </w:hyperlink>
    </w:p>
    <w:p>
      <w:pPr>
        <w:pStyle w:val="BodyText"/>
      </w:pPr>
      <w:r>
        <w:t xml:space="preserve">¹Laboratório Multidisciplinar em Alimentos e Saúde (LabMAS), Faculdade de Ciências Aplicadas (FCA), Universidade Estadual de Campinas (UNICAMP), Limeira, São Paulo, Brasil</w:t>
      </w:r>
    </w:p>
    <w:p>
      <w:pPr>
        <w:pStyle w:val="BodyText"/>
      </w:pPr>
      <w:r>
        <w:t xml:space="preserve">*Corresponding Author: Ellis Wollis Malta Abhulime, Email: elliswollismalta@gmail.com, Multidisciplinary Laboratory in Food and Health (LabMAS), School of Applied Sciences (FCA), University of Campinas (UNICAMP), Rua Pedro Zaccaria, 1300, 13484-350, Limeira, São Paulo, Brazil</w:t>
      </w:r>
    </w:p>
    <w:bookmarkStart w:id="12" w:name="abstract"/>
    <w:p>
      <w:pPr>
        <w:pStyle w:val="Heading1"/>
      </w:pPr>
      <w:r>
        <w:t xml:space="preserve">Abstract</w:t>
      </w:r>
    </w:p>
    <w:p>
      <w:pPr>
        <w:pStyle w:val="FirstParagraph"/>
      </w:pPr>
      <w:r>
        <w:rPr>
          <w:b/>
          <w:bCs/>
        </w:rPr>
        <w:t xml:space="preserve">Background/Objectives:</w:t>
      </w:r>
      <w:r>
        <w:t xml:space="preserve"> </w:t>
      </w:r>
      <w:r>
        <w:t xml:space="preserve">Artificial Intelligence (AI), particularly Large Language Models (LLMs), is increasingly evaluated for clinical nutrition tasks, but evidence on safety, reliability, and real-world effectiveness is fragmented. We aimed to map quantitative performance, safety failure modes, and implementation-relevant outcomes for LLMs and related AI systems in clinical nutrition.</w:t>
      </w:r>
    </w:p>
    <w:p>
      <w:pPr>
        <w:pStyle w:val="BodyText"/>
      </w:pPr>
      <w:r>
        <w:rPr>
          <w:b/>
          <w:bCs/>
        </w:rPr>
        <w:t xml:space="preserve">Subjects/Methods:</w:t>
      </w:r>
      <w:r>
        <w:t xml:space="preserve"> </w:t>
      </w:r>
      <w:r>
        <w:t xml:space="preserve">We conducted a PRISMA-ScR scoping review of 53 sources (2020–2025) identified via searches across six databases (PubMed/MEDLINE, Web of Science Core Collection, Scopus, IEEE Xplore, ACM Digital Library, and Google Scholar) plus supplementary citation screening.</w:t>
      </w:r>
    </w:p>
    <w:p>
      <w:pPr>
        <w:pStyle w:val="BodyText"/>
      </w:pPr>
      <w:r>
        <w:rPr>
          <w:b/>
          <w:bCs/>
        </w:rPr>
        <w:t xml:space="preserve">Results:</w:t>
      </w:r>
      <w:r>
        <w:t xml:space="preserve"> </w:t>
      </w:r>
      <w:r>
        <w:t xml:space="preserve">Across standardized examinations, top models reached 91–95% accuracy, yet performance often fell below 50% in complex multi-comorbidity scenarios. In applied dietary assessment, image-based systems showed systematic portion-size underestimation, raising risk for energy/protein mis-prescription in vulnerable patients. Safety vulnerabilities were frequent, including fabricated citations and allergen errors; under adversarial testing, hallucination rates reached 50–82%. Clinical outcome evidence remains limited: the longest nutrition-focused randomized trial followed participants for 48 weeks, and systematic adverse-event reporting was uncommon.</w:t>
      </w:r>
    </w:p>
    <w:p>
      <w:pPr>
        <w:pStyle w:val="BodyText"/>
      </w:pPr>
      <w:r>
        <w:rPr>
          <w:b/>
          <w:bCs/>
        </w:rPr>
        <w:t xml:space="preserve">Conclusions:</w:t>
      </w:r>
      <w:r>
        <w:t xml:space="preserve"> </w:t>
      </w:r>
      <w:r>
        <w:t xml:space="preserve">Autonomous clinical use is premature; if deployed, LLMs should be restricted to supervised decision support with guideline-grounded architectures (e.g., retrieval-augmented or hybrid systems), local validation, audit trails, and predefined safety monitoring. Priority research includes nutrition-specific public benchmarks and long-term non-inferiority trials with hard outcomes (e.g., HbA1c, weight) and safety endpoints.</w:t>
      </w:r>
    </w:p>
    <w:p>
      <w:pPr>
        <w:pStyle w:val="BodyText"/>
      </w:pPr>
      <w:r>
        <w:rPr>
          <w:b/>
          <w:bCs/>
        </w:rPr>
        <w:t xml:space="preserve">Keywords:</w:t>
      </w:r>
      <w:r>
        <w:t xml:space="preserve"> </w:t>
      </w:r>
      <w:r>
        <w:t xml:space="preserve">artificial intelligence, large language models, clinical nutrition, dietetics, digital health</w:t>
      </w:r>
    </w:p>
    <w:bookmarkEnd w:id="12"/>
    <w:bookmarkStart w:id="14" w:name="introduction"/>
    <w:p>
      <w:pPr>
        <w:pStyle w:val="Heading1"/>
      </w:pPr>
      <w:r>
        <w:t xml:space="preserve">Introduction</w:t>
      </w:r>
    </w:p>
    <w:p>
      <w:pPr>
        <w:pStyle w:val="FirstParagraph"/>
      </w:pPr>
      <w:r>
        <w:t xml:space="preserve">The integration of Artificial Intelligence (AI) into clinical nutrition represents a paradigm shift, evolving from passive monitoring tools to generative systems capable of automating complex clinical reasoning and personalized care. Large Language Models (LLMs) extend this promise by enabling natural-language interaction, guideline retrieval, and rapid synthesis of complex nutrition information; however, the same features introduce safety risks when outputs are plausible but incorrect (often termed 'hallucinations' [1]), ungrounded, or inconsistently reproduced across prompts and contexts.</w:t>
      </w:r>
    </w:p>
    <w:p>
      <w:pPr>
        <w:pStyle w:val="BodyText"/>
      </w:pPr>
      <w:r>
        <w:t xml:space="preserve">This tension is especially relevant given workforce constraints in nutrition care and growing demand for personalized diet therapy in obesity, diabetes, kidney disease, cancer, and other chronic conditions [2]. For clinicians, the central question is not whether LLMs can generate plausible text, but whether they can deliver reliable, safe, and clinically appropriate recommendations across real-world complexity (multi-morbidity, allergies, cultural dietary patterns, and incomplete data), and what safeguards are supported by evidence.</w:t>
      </w:r>
    </w:p>
    <w:p>
      <w:pPr>
        <w:pStyle w:val="BodyText"/>
      </w:pPr>
      <w:r>
        <w:t xml:space="preserve">Evidence in this area is rapidly expanding but methodologically heterogeneous: studies span examination-style benchmarking, dietary assessment validation, adversarial safety testing, implementation/feasibility reports, and a small number of clinical trials. Prior narrative reviews have summarized broad AI applications in nutrition, but have not consistently mapped quantitative performance, safety failure modes, and implementation-relevant outcomes specific to LLM-era systems. A scoping review is therefore the most appropriate synthesis approach to characterize what has been studied, how it has been measured, where results are consistent or conflicting, and which clinical and research gaps must be addressed before routine clinical deployment.</w:t>
      </w:r>
    </w:p>
    <w:bookmarkStart w:id="13" w:name="research-objectives"/>
    <w:p>
      <w:pPr>
        <w:pStyle w:val="Heading2"/>
      </w:pPr>
      <w:r>
        <w:t xml:space="preserve">Research Objectives</w:t>
      </w:r>
    </w:p>
    <w:p>
      <w:pPr>
        <w:pStyle w:val="FirstParagraph"/>
      </w:pPr>
      <w:r>
        <w:t xml:space="preserve">This scoping review addresses the following research questions:</w:t>
      </w:r>
    </w:p>
    <w:p>
      <w:pPr>
        <w:numPr>
          <w:ilvl w:val="0"/>
          <w:numId w:val="1001"/>
        </w:numPr>
      </w:pPr>
      <w:r>
        <w:t xml:space="preserve">How do LLM architectures (deterministic rule-based, pure LLMs, hybrid systems) compare across accuracy, consistency, and clinical appropriateness metrics?</w:t>
      </w:r>
    </w:p>
    <w:p>
      <w:pPr>
        <w:numPr>
          <w:ilvl w:val="0"/>
          <w:numId w:val="1001"/>
        </w:numPr>
      </w:pPr>
      <w:r>
        <w:t xml:space="preserve">What is the quantitative evidence comparing LLM versus human dietitian performance across standardized examinations, clinical scenarios, and patient outcomes?</w:t>
      </w:r>
    </w:p>
    <w:p>
      <w:pPr>
        <w:numPr>
          <w:ilvl w:val="0"/>
          <w:numId w:val="1001"/>
        </w:numPr>
      </w:pPr>
      <w:r>
        <w:t xml:space="preserve">What are measured caloric and macronutrient precision rates, and how do they vary by food type, portion size, and model architecture?</w:t>
      </w:r>
    </w:p>
    <w:p>
      <w:pPr>
        <w:numPr>
          <w:ilvl w:val="0"/>
          <w:numId w:val="1001"/>
        </w:numPr>
      </w:pPr>
      <w:r>
        <w:t xml:space="preserve">What safety vulnerabilities exist, including hallucination rates, citation accuracy, and susceptibility to manipulation or misinformation?</w:t>
      </w:r>
    </w:p>
    <w:p>
      <w:pPr>
        <w:numPr>
          <w:ilvl w:val="0"/>
          <w:numId w:val="1001"/>
        </w:numPr>
      </w:pPr>
      <w:r>
        <w:t xml:space="preserve">What terminology frameworks are emerging, and what are their implications for professional boundaries and regulatory positioning?</w:t>
      </w:r>
    </w:p>
    <w:p>
      <w:pPr>
        <w:numPr>
          <w:ilvl w:val="0"/>
          <w:numId w:val="1001"/>
        </w:numPr>
      </w:pPr>
      <w:r>
        <w:t xml:space="preserve">What long-term clinical outcome data exist, including adverse event monitoring and sustained intervention effects?</w:t>
      </w:r>
    </w:p>
    <w:p>
      <w:pPr>
        <w:numPr>
          <w:ilvl w:val="0"/>
          <w:numId w:val="1001"/>
        </w:numPr>
      </w:pPr>
      <w:r>
        <w:t xml:space="preserve">What evidence-based recommendations emerge for clinical integration, supervision requirements, and future research priorities?</w:t>
      </w:r>
    </w:p>
    <w:bookmarkEnd w:id="13"/>
    <w:bookmarkEnd w:id="14"/>
    <w:bookmarkStart w:id="21" w:name="methods"/>
    <w:p>
      <w:pPr>
        <w:pStyle w:val="Heading1"/>
      </w:pPr>
      <w:r>
        <w:t xml:space="preserve">Methods</w:t>
      </w:r>
    </w:p>
    <w:bookmarkStart w:id="15" w:name="objective-and-scope"/>
    <w:p>
      <w:pPr>
        <w:pStyle w:val="Heading2"/>
      </w:pPr>
      <w:r>
        <w:t xml:space="preserve">Objective and Scope</w:t>
      </w:r>
    </w:p>
    <w:p>
      <w:pPr>
        <w:pStyle w:val="FirstParagraph"/>
      </w:pPr>
      <w:r>
        <w:t xml:space="preserve">The primary objective of this scoping review is to systematically examine and critically synthesize evidence on Large Language Model applications in clinical nutrition and dietetics, including peer-reviewed studies and selected authoritative policy/technical documents relevant to clinical implementation and safety. The scope encompasses seven primary domains:</w:t>
      </w:r>
    </w:p>
    <w:p>
      <w:pPr>
        <w:pStyle w:val="Compact"/>
        <w:numPr>
          <w:ilvl w:val="0"/>
          <w:numId w:val="1002"/>
        </w:numPr>
      </w:pPr>
      <w:r>
        <w:rPr>
          <w:b/>
          <w:bCs/>
        </w:rPr>
        <w:t xml:space="preserve">Performance benchmarking:</w:t>
      </w:r>
      <w:r>
        <w:t xml:space="preserve"> </w:t>
      </w:r>
      <w:r>
        <w:t xml:space="preserve">Comparative evaluation of LLM architectures (deterministic, pure LLM, hybrid systems) across accuracy, consistency, and clinical appropriateness metrics</w:t>
      </w:r>
    </w:p>
    <w:p>
      <w:pPr>
        <w:pStyle w:val="Compact"/>
        <w:numPr>
          <w:ilvl w:val="0"/>
          <w:numId w:val="1002"/>
        </w:numPr>
      </w:pPr>
      <w:r>
        <w:rPr>
          <w:b/>
          <w:bCs/>
        </w:rPr>
        <w:t xml:space="preserve">Human-AI comparison:</w:t>
      </w:r>
      <w:r>
        <w:t xml:space="preserve"> </w:t>
      </w:r>
      <w:r>
        <w:t xml:space="preserve">Quantitative evidence comparing LLM versus human dietitian performance on standardized examinations and clinical scenarios</w:t>
      </w:r>
    </w:p>
    <w:p>
      <w:pPr>
        <w:pStyle w:val="Compact"/>
        <w:numPr>
          <w:ilvl w:val="0"/>
          <w:numId w:val="1002"/>
        </w:numPr>
      </w:pPr>
      <w:r>
        <w:rPr>
          <w:b/>
          <w:bCs/>
        </w:rPr>
        <w:t xml:space="preserve">Nutritional precision:</w:t>
      </w:r>
      <w:r>
        <w:t xml:space="preserve"> </w:t>
      </w:r>
      <w:r>
        <w:t xml:space="preserve">Measured caloric and macronutrient precision rates across food types, portion sizes, and model architectures</w:t>
      </w:r>
    </w:p>
    <w:p>
      <w:pPr>
        <w:pStyle w:val="Compact"/>
        <w:numPr>
          <w:ilvl w:val="0"/>
          <w:numId w:val="1002"/>
        </w:numPr>
      </w:pPr>
      <w:r>
        <w:rPr>
          <w:b/>
          <w:bCs/>
        </w:rPr>
        <w:t xml:space="preserve">Safety assessment:</w:t>
      </w:r>
      <w:r>
        <w:t xml:space="preserve"> </w:t>
      </w:r>
      <w:r>
        <w:t xml:space="preserve">Hallucination rates, citation accuracy, allergen safety, and susceptibility to adversarial attacks</w:t>
      </w:r>
    </w:p>
    <w:p>
      <w:pPr>
        <w:pStyle w:val="Compact"/>
        <w:numPr>
          <w:ilvl w:val="0"/>
          <w:numId w:val="1002"/>
        </w:numPr>
      </w:pPr>
      <w:r>
        <w:rPr>
          <w:b/>
          <w:bCs/>
        </w:rPr>
        <w:t xml:space="preserve">Clinical outcomes:</w:t>
      </w:r>
      <w:r>
        <w:t xml:space="preserve"> </w:t>
      </w:r>
      <w:r>
        <w:t xml:space="preserve">Long-term intervention effects, adverse event monitoring, and sustained efficacy</w:t>
      </w:r>
    </w:p>
    <w:p>
      <w:pPr>
        <w:pStyle w:val="Compact"/>
        <w:numPr>
          <w:ilvl w:val="0"/>
          <w:numId w:val="1002"/>
        </w:numPr>
      </w:pPr>
      <w:r>
        <w:rPr>
          <w:b/>
          <w:bCs/>
        </w:rPr>
        <w:t xml:space="preserve">Regulatory positioning:</w:t>
      </w:r>
      <w:r>
        <w:t xml:space="preserve"> </w:t>
      </w:r>
      <w:r>
        <w:t xml:space="preserve">Terminology frameworks, professional boundaries, and regulatory classifications</w:t>
      </w:r>
    </w:p>
    <w:p>
      <w:pPr>
        <w:pStyle w:val="Compact"/>
        <w:numPr>
          <w:ilvl w:val="0"/>
          <w:numId w:val="1002"/>
        </w:numPr>
      </w:pPr>
      <w:r>
        <w:rPr>
          <w:b/>
          <w:bCs/>
        </w:rPr>
        <w:t xml:space="preserve">Implementation pathways:</w:t>
      </w:r>
      <w:r>
        <w:t xml:space="preserve"> </w:t>
      </w:r>
      <w:r>
        <w:t xml:space="preserve">Evidence-based recommendations for clinical integration and supervision requirements</w:t>
      </w:r>
    </w:p>
    <w:p>
      <w:pPr>
        <w:pStyle w:val="FirstParagraph"/>
      </w:pPr>
      <w:r>
        <w:t xml:space="preserve">This review focuses on studies published between January 2020 and September 2025, integrating evidence from validation studies, randomized controlled trials, observational studies, and systematic reviews. The structured approach aims to map existing knowledge, identify methodological strengths and limitations, and establish evidence-based priorities for responsible LLM integration in nutrition practice.</w:t>
      </w:r>
    </w:p>
    <w:bookmarkEnd w:id="15"/>
    <w:bookmarkStart w:id="16" w:name="scoping-review-rationale-and-design"/>
    <w:p>
      <w:pPr>
        <w:pStyle w:val="Heading2"/>
      </w:pPr>
      <w:r>
        <w:t xml:space="preserve">Scoping Review Rationale and Design</w:t>
      </w:r>
    </w:p>
    <w:p>
      <w:pPr>
        <w:pStyle w:val="FirstParagraph"/>
      </w:pPr>
      <w:r>
        <w:t xml:space="preserve">We conducted a scoping review following the PRISMA Extension for Scoping Reviews (PRISMA-ScR) guidelines [3]. Scoping review methodology was selected because the evidence base spans heterogeneous study designs and evidence types (validation studies, safety/adversarial testing, implementation reports, and relatively few clinical outcome trials). Accordingly, a scoping review is the most appropriate approach to map (i) where LLMs are reliable versus unsafe, (ii) recurrent safety failure modes and governance gaps, and (iii) priorities for future systematic reviews and long-term intervention trials.</w:t>
      </w:r>
    </w:p>
    <w:p>
      <w:pPr>
        <w:pStyle w:val="BodyText"/>
      </w:pPr>
      <w:r>
        <w:t xml:space="preserve">The review was designed to answer</w:t>
      </w:r>
      <w:r>
        <w:t xml:space="preserve"> </w:t>
      </w:r>
      <w:r>
        <w:t xml:space="preserve">“what is known”</w:t>
      </w:r>
      <w:r>
        <w:t xml:space="preserve"> </w:t>
      </w:r>
      <w:r>
        <w:t xml:space="preserve">about LLM performance, safety, and implementation in nutrition rather than</w:t>
      </w:r>
      <w:r>
        <w:t xml:space="preserve"> </w:t>
      </w:r>
      <w:r>
        <w:t xml:space="preserve">“what works best”</w:t>
      </w:r>
      <w:r>
        <w:t xml:space="preserve"> </w:t>
      </w:r>
      <w:r>
        <w:t xml:space="preserve">for a specific intervention, aligning with scoping review purposes of examining the extent, range, and nature of research activity in an emerging field. The selection process for the 53 included sources is detailed in Figure 1 (PRISMA Flow Diagram) and Supplementary Table S1; key findings are synthesized below with primary sources cited in the main text.</w:t>
      </w:r>
    </w:p>
    <w:bookmarkEnd w:id="16"/>
    <w:bookmarkStart w:id="17" w:name="search-strategy-and-information-sources"/>
    <w:p>
      <w:pPr>
        <w:pStyle w:val="Heading2"/>
      </w:pPr>
      <w:r>
        <w:t xml:space="preserve">Search Strategy and Information Sources</w:t>
      </w:r>
    </w:p>
    <w:p>
      <w:pPr>
        <w:pStyle w:val="FirstParagraph"/>
      </w:pPr>
      <w:r>
        <w:t xml:space="preserve">Databases and Sources: Comprehensive literature searches were conducted across six electronic databases: PubMed/MEDLINE, Web of Science Core Collection, Scopus, IEEE Xplore Digital Library, ACM Digital Library, and Google Scholar (first 200 results per query) for articles published between January 1, 2020 and September 30, 2025.</w:t>
      </w:r>
    </w:p>
    <w:p>
      <w:pPr>
        <w:pStyle w:val="BodyText"/>
      </w:pPr>
      <w:r>
        <w:t xml:space="preserve">Search Strategy Development: An iterative search strategy was developed by the author team, employing 65 targeted Boolean queries combining nutrition-specific keywords with AI terminology. Search terms were organized into three concept groups:</w:t>
      </w:r>
    </w:p>
    <w:p>
      <w:pPr>
        <w:pStyle w:val="Compact"/>
        <w:numPr>
          <w:ilvl w:val="0"/>
          <w:numId w:val="1003"/>
        </w:numPr>
      </w:pPr>
      <w:r>
        <w:rPr>
          <w:b/>
          <w:bCs/>
        </w:rPr>
        <w:t xml:space="preserve">Nutrition concepts:</w:t>
      </w:r>
      <w:r>
        <w:t xml:space="preserve"> </w:t>
      </w:r>
      <w:r>
        <w:t xml:space="preserve">nutrition OR dietetics OR dietary assessment OR meal planning OR nutritionist OR dietitian OR</w:t>
      </w:r>
      <w:r>
        <w:t xml:space="preserve"> </w:t>
      </w:r>
      <w:r>
        <w:t xml:space="preserve">“clinical nutrition”</w:t>
      </w:r>
      <w:r>
        <w:t xml:space="preserve"> </w:t>
      </w:r>
      <w:r>
        <w:t xml:space="preserve">OR</w:t>
      </w:r>
      <w:r>
        <w:t xml:space="preserve"> </w:t>
      </w:r>
      <w:r>
        <w:t xml:space="preserve">“medical nutrition therapy”</w:t>
      </w:r>
      <w:r>
        <w:t xml:space="preserve"> </w:t>
      </w:r>
      <w:r>
        <w:t xml:space="preserve">OR</w:t>
      </w:r>
      <w:r>
        <w:t xml:space="preserve"> </w:t>
      </w:r>
      <w:r>
        <w:t xml:space="preserve">“nutrition counseling”</w:t>
      </w:r>
    </w:p>
    <w:p>
      <w:pPr>
        <w:pStyle w:val="Compact"/>
        <w:numPr>
          <w:ilvl w:val="0"/>
          <w:numId w:val="1003"/>
        </w:numPr>
      </w:pPr>
      <w:r>
        <w:rPr>
          <w:b/>
          <w:bCs/>
        </w:rPr>
        <w:t xml:space="preserve">AI/LLM concepts:</w:t>
      </w:r>
      <w:r>
        <w:t xml:space="preserve"> </w:t>
      </w:r>
      <w:r>
        <w:t xml:space="preserve">“artificial intelligence”</w:t>
      </w:r>
      <w:r>
        <w:t xml:space="preserve"> </w:t>
      </w:r>
      <w:r>
        <w:t xml:space="preserve">OR</w:t>
      </w:r>
      <w:r>
        <w:t xml:space="preserve"> </w:t>
      </w:r>
      <w:r>
        <w:t xml:space="preserve">“machine learning”</w:t>
      </w:r>
      <w:r>
        <w:t xml:space="preserve"> </w:t>
      </w:r>
      <w:r>
        <w:t xml:space="preserve">OR</w:t>
      </w:r>
      <w:r>
        <w:t xml:space="preserve"> </w:t>
      </w:r>
      <w:r>
        <w:t xml:space="preserve">“large language model”</w:t>
      </w:r>
      <w:r>
        <w:t xml:space="preserve"> </w:t>
      </w:r>
      <w:r>
        <w:t xml:space="preserve">OR LLM OR GPT OR</w:t>
      </w:r>
      <w:r>
        <w:t xml:space="preserve"> </w:t>
      </w:r>
      <w:r>
        <w:t xml:space="preserve">“neural network”</w:t>
      </w:r>
      <w:r>
        <w:t xml:space="preserve"> </w:t>
      </w:r>
      <w:r>
        <w:t xml:space="preserve">OR chatbot OR</w:t>
      </w:r>
      <w:r>
        <w:t xml:space="preserve"> </w:t>
      </w:r>
      <w:r>
        <w:t xml:space="preserve">“conversational agent”</w:t>
      </w:r>
      <w:r>
        <w:t xml:space="preserve"> </w:t>
      </w:r>
      <w:r>
        <w:t xml:space="preserve">OR</w:t>
      </w:r>
      <w:r>
        <w:t xml:space="preserve"> </w:t>
      </w:r>
      <w:r>
        <w:t xml:space="preserve">“deep learning”</w:t>
      </w:r>
      <w:r>
        <w:t xml:space="preserve"> </w:t>
      </w:r>
      <w:r>
        <w:t xml:space="preserve">OR</w:t>
      </w:r>
      <w:r>
        <w:t xml:space="preserve"> </w:t>
      </w:r>
      <w:r>
        <w:t xml:space="preserve">“natural language processing”</w:t>
      </w:r>
    </w:p>
    <w:p>
      <w:pPr>
        <w:pStyle w:val="Compact"/>
        <w:numPr>
          <w:ilvl w:val="0"/>
          <w:numId w:val="1003"/>
        </w:numPr>
      </w:pPr>
      <w:r>
        <w:rPr>
          <w:b/>
          <w:bCs/>
        </w:rPr>
        <w:t xml:space="preserve">Model-specific terms (when used): ChatGPT OR "GPT-4" OR Claude OR Gemini OR Bard. Additional model names encountered during screening (e.g., LLaMA3, GPT-5) were captured through supplementary screening and included if they met eligibility criteria.</w:t>
      </w:r>
    </w:p>
    <w:p>
      <w:pPr>
        <w:pStyle w:val="FirstParagraph"/>
      </w:pPr>
      <w:r>
        <w:rPr>
          <w:b/>
          <w:bCs/>
        </w:rPr>
        <w:t xml:space="preserve">Example PubMed search string:</w:t>
      </w:r>
    </w:p>
    <w:p>
      <w:pPr>
        <w:pStyle w:val="SourceCode"/>
      </w:pPr>
      <w:r>
        <w:rPr>
          <w:rStyle w:val="VerbatimChar"/>
        </w:rPr>
        <w:t xml:space="preserve">(("artificial intelligence"[MeSH] OR "machine learning"[MeSH] OR "large language model"[tiab] OR LLM[tiab] OR GPT[tiab] OR chatbot[tiab]) AND (nutrition[MeSH] OR dietetics[MeSH] OR "dietary assessment"[tiab] OR nutritionist[tiab] OR dietitian[tiab])) AND (2020/01/01:2025/09/30[Date - Publication])</w:t>
      </w:r>
    </w:p>
    <w:p>
      <w:pPr>
        <w:pStyle w:val="FirstParagraph"/>
      </w:pPr>
      <w:r>
        <w:t xml:space="preserve">Supplementary search methods: (1) Manual screening of reference lists from included reviews and key primary studies; and (2) Forward citation tracking of seminal papers using Google Scholar.</w:t>
      </w:r>
    </w:p>
    <w:p>
      <w:pPr>
        <w:pStyle w:val="BodyText"/>
      </w:pPr>
      <w:r>
        <w:rPr>
          <w:b/>
          <w:bCs/>
        </w:rPr>
        <w:t xml:space="preserve">Search documentation:</w:t>
      </w:r>
      <w:r>
        <w:t xml:space="preserve"> </w:t>
      </w:r>
      <w:r>
        <w:t xml:space="preserve">Complete search strings for all databases are available in Supplementary File S4 (Search Strategy Documentation).</w:t>
      </w:r>
    </w:p>
    <w:bookmarkEnd w:id="17"/>
    <w:bookmarkStart w:id="18" w:name="inclusion-and-exclusion-criteria"/>
    <w:p>
      <w:pPr>
        <w:pStyle w:val="Heading2"/>
      </w:pPr>
      <w:r>
        <w:t xml:space="preserve">Inclusion and Exclusion Criteria</w:t>
      </w:r>
    </w:p>
    <w:p>
      <w:pPr>
        <w:pStyle w:val="FirstParagraph"/>
      </w:pPr>
      <w:r>
        <w:t xml:space="preserve">Inclusion criteria:</w:t>
      </w:r>
      <w:r>
        <w:br/>
      </w:r>
      <w:r>
        <w:t xml:space="preserve">- Publication type: Peer-reviewed journal articles; high-quality conference proceedings; and selected authoritative policy/technical documents (e.g., regulatory frameworks, model/system documentation, credentialing/workforce reports) when directly relevant to clinical implementation and safety</w:t>
      </w:r>
      <w:r>
        <w:br/>
      </w:r>
      <w:r>
        <w:t xml:space="preserve">- Study design: Primary research (validation studies, randomized controlled trials, observational studies), safety/adversarial testing, benchmark and dataset descriptions, and evidence syntheses (systematic/scoping/narrative reviews)</w:t>
      </w:r>
      <w:r>
        <w:br/>
      </w:r>
      <w:r>
        <w:t xml:space="preserve">- Content focus: AI systems (including LLMs) applied to human nutrition, dietetics, dietary counseling, or clinical nutrition therapy; plus implementation/safety governance relevant to clinical use</w:t>
      </w:r>
      <w:r>
        <w:br/>
      </w:r>
      <w:r>
        <w:t xml:space="preserve">- Data reporting: Quantitative performance metrics and/or clinically relevant outcomes, or actionable implementation/safety requirements</w:t>
      </w:r>
      <w:r>
        <w:br/>
      </w:r>
      <w:r>
        <w:t xml:space="preserve">- Language: English</w:t>
      </w:r>
      <w:r>
        <w:br/>
      </w:r>
      <w:r>
        <w:t xml:space="preserve">- Timeframe: Published between January 1, 2020 and September 30, 2025</w:t>
      </w:r>
    </w:p>
    <w:p>
      <w:pPr>
        <w:pStyle w:val="BodyText"/>
      </w:pPr>
      <w:r>
        <w:t xml:space="preserve">Exclusion criteria:</w:t>
      </w:r>
      <w:r>
        <w:br/>
      </w:r>
      <w:r>
        <w:t xml:space="preserve">- Animal nutrition studies without human relevance</w:t>
      </w:r>
      <w:r>
        <w:br/>
      </w:r>
      <w:r>
        <w:t xml:space="preserve">- Food science manufacturing or agricultural applications without a clinical nutrition component</w:t>
      </w:r>
      <w:r>
        <w:br/>
      </w:r>
      <w:r>
        <w:t xml:space="preserve">- Opinion pieces, editorials, or commentaries without substantive methods or data</w:t>
      </w:r>
      <w:r>
        <w:br/>
      </w:r>
      <w:r>
        <w:t xml:space="preserve">- Studies focused exclusively on computer vision or image recognition without any language-model or conversational component</w:t>
      </w:r>
      <w:r>
        <w:br/>
      </w:r>
      <w:r>
        <w:t xml:space="preserve">- Duplicate publications (e.g., conference abstracts subsequently published as full journal articles—only the full article was retained)</w:t>
      </w:r>
      <w:r>
        <w:br/>
      </w:r>
      <w:r>
        <w:t xml:space="preserve">- Studies evaluating legacy non-LLM AI without clear relevance to clinical nutrition tools in the LLM era</w:t>
      </w:r>
    </w:p>
    <w:p>
      <w:pPr>
        <w:pStyle w:val="BodyText"/>
      </w:pPr>
      <w:r>
        <w:t xml:space="preserve">Screening process: Two independent reviewers (V.R.M. and R.D.M.) screened titles/abstracts and assessed full texts for eligibility. Disagreements were resolved by discussion; when consensus could not be reached, a third reviewer (E.W.M.A.) adjudicated. Final eligibility decisions were reviewed and validated by the senior authors (F.B.B. and D.T.C.).</w:t>
      </w:r>
    </w:p>
    <w:bookmarkEnd w:id="18"/>
    <w:bookmarkStart w:id="19" w:name="data-extraction-and-synthesis"/>
    <w:p>
      <w:pPr>
        <w:pStyle w:val="Heading2"/>
      </w:pPr>
      <w:r>
        <w:t xml:space="preserve">Data Extraction and Synthesis</w:t>
      </w:r>
    </w:p>
    <w:p>
      <w:pPr>
        <w:pStyle w:val="FirstParagraph"/>
      </w:pPr>
      <w:r>
        <w:t xml:space="preserve">Data extraction: Three reviewers (E.W.M.A., V.R.M., and R.D.M.) extracted data using standardized forms developed and pilot-tested on 10 representative studies. Discrepancies were resolved by consensus, with input from the senior authors (F.B.B. and D.T.C.) when needed. Extracted variables included:</w:t>
      </w:r>
    </w:p>
    <w:p>
      <w:pPr>
        <w:pStyle w:val="Compact"/>
        <w:numPr>
          <w:ilvl w:val="0"/>
          <w:numId w:val="1004"/>
        </w:numPr>
      </w:pPr>
      <w:r>
        <w:rPr>
          <w:b/>
          <w:bCs/>
        </w:rPr>
        <w:t xml:space="preserve">Study characteristics:</w:t>
      </w:r>
      <w:r>
        <w:t xml:space="preserve"> </w:t>
      </w:r>
      <w:r>
        <w:t xml:space="preserve">First author, publication year, country/region, funding source, conflicts of interest</w:t>
      </w:r>
    </w:p>
    <w:p>
      <w:pPr>
        <w:pStyle w:val="Compact"/>
        <w:numPr>
          <w:ilvl w:val="0"/>
          <w:numId w:val="1004"/>
        </w:numPr>
      </w:pPr>
      <w:r>
        <w:rPr>
          <w:b/>
          <w:bCs/>
        </w:rPr>
        <w:t xml:space="preserve">Study design:</w:t>
      </w:r>
      <w:r>
        <w:t xml:space="preserve"> </w:t>
      </w:r>
      <w:r>
        <w:t xml:space="preserve">Design type, sample size, duration, setting (academic, clinical, commercial)</w:t>
      </w:r>
    </w:p>
    <w:p>
      <w:pPr>
        <w:pStyle w:val="Compact"/>
        <w:numPr>
          <w:ilvl w:val="0"/>
          <w:numId w:val="1004"/>
        </w:numPr>
      </w:pPr>
      <w:r>
        <w:rPr>
          <w:b/>
          <w:bCs/>
        </w:rPr>
        <w:t xml:space="preserve">AI system specifications:</w:t>
      </w:r>
      <w:r>
        <w:t xml:space="preserve"> </w:t>
      </w:r>
      <w:r>
        <w:t xml:space="preserve">Model architecture (GPT-4o, Claude 3.5, Gemini 1.5 Pro, etc.), model version, training data sources, prompting strategies (zero-shot, few-shot, chain-of-thought), fine-tuning approaches, retrieval-augmented generation implementation</w:t>
      </w:r>
    </w:p>
    <w:p>
      <w:pPr>
        <w:pStyle w:val="Compact"/>
        <w:numPr>
          <w:ilvl w:val="0"/>
          <w:numId w:val="1004"/>
        </w:numPr>
      </w:pPr>
      <w:r>
        <w:rPr>
          <w:b/>
          <w:bCs/>
        </w:rPr>
        <w:t xml:space="preserve">Population/dataset:</w:t>
      </w:r>
      <w:r>
        <w:t xml:space="preserve"> </w:t>
      </w:r>
      <w:r>
        <w:t xml:space="preserve">Human participant characteristics OR validation dataset composition (food items, clinical scenarios, examination questions)</w:t>
      </w:r>
    </w:p>
    <w:p>
      <w:pPr>
        <w:pStyle w:val="Compact"/>
        <w:numPr>
          <w:ilvl w:val="0"/>
          <w:numId w:val="1004"/>
        </w:numPr>
      </w:pPr>
      <w:r>
        <w:rPr>
          <w:b/>
          <w:bCs/>
        </w:rPr>
        <w:t xml:space="preserve">Comparison groups:</w:t>
      </w:r>
      <w:r>
        <w:t xml:space="preserve"> </w:t>
      </w:r>
      <w:r>
        <w:t xml:space="preserve">Human dietitians, alternative AI systems, control groups</w:t>
      </w:r>
    </w:p>
    <w:p>
      <w:pPr>
        <w:pStyle w:val="Compact"/>
        <w:numPr>
          <w:ilvl w:val="0"/>
          <w:numId w:val="1004"/>
        </w:numPr>
      </w:pPr>
      <w:r>
        <w:rPr>
          <w:b/>
          <w:bCs/>
        </w:rPr>
        <w:t xml:space="preserve">Outcome measures:</w:t>
      </w:r>
      <w:r>
        <w:t xml:space="preserve"> </w:t>
      </w:r>
      <w:r>
        <w:t xml:space="preserve">Primary and secondary outcomes, performance metrics with 95% confidence intervals where reported</w:t>
      </w:r>
    </w:p>
    <w:p>
      <w:pPr>
        <w:pStyle w:val="Compact"/>
        <w:numPr>
          <w:ilvl w:val="0"/>
          <w:numId w:val="1004"/>
        </w:numPr>
      </w:pPr>
      <w:r>
        <w:rPr>
          <w:b/>
          <w:bCs/>
        </w:rPr>
        <w:t xml:space="preserve">Quantitative results:</w:t>
      </w:r>
      <w:r>
        <w:t xml:space="preserve"> </w:t>
      </w:r>
      <w:r>
        <w:t xml:space="preserve">Accuracy rates, sensitivity/specificity, correlation coefficients, clinical outcome changes, p-values</w:t>
      </w:r>
    </w:p>
    <w:p>
      <w:pPr>
        <w:pStyle w:val="Compact"/>
        <w:numPr>
          <w:ilvl w:val="0"/>
          <w:numId w:val="1004"/>
        </w:numPr>
      </w:pPr>
      <w:r>
        <w:rPr>
          <w:b/>
          <w:bCs/>
        </w:rPr>
        <w:t xml:space="preserve">Safety data:</w:t>
      </w:r>
      <w:r>
        <w:t xml:space="preserve"> </w:t>
      </w:r>
      <w:r>
        <w:t xml:space="preserve">Hallucination rates, citation accuracy, allergen errors, adverse events</w:t>
      </w:r>
    </w:p>
    <w:p>
      <w:pPr>
        <w:pStyle w:val="Compact"/>
        <w:numPr>
          <w:ilvl w:val="0"/>
          <w:numId w:val="1004"/>
        </w:numPr>
      </w:pPr>
      <w:r>
        <w:rPr>
          <w:b/>
          <w:bCs/>
        </w:rPr>
        <w:t xml:space="preserve">Follow-up duration:</w:t>
      </w:r>
      <w:r>
        <w:t xml:space="preserve"> </w:t>
      </w:r>
      <w:r>
        <w:t xml:space="preserve">For intervention studies, duration of active intervention and maximum follow-up period</w:t>
      </w:r>
    </w:p>
    <w:p>
      <w:pPr>
        <w:pStyle w:val="FirstParagraph"/>
      </w:pPr>
      <w:r>
        <w:t xml:space="preserve">Data synthesis approach: Given heterogeneous study designs, outcome measures, and LLM architectures, formal meta-analysis was not feasible. Instead, we employed structured narrative synthesis organized thematically by the seven research questions outlined in the Introduction. Quantitative findings were tabulated to enable cross-study comparison. Where multiple studies addressed the same outcome (e.g., RD examination accuracy), results were presented in comparative tables with methodological details.</w:t>
      </w:r>
    </w:p>
    <w:p>
      <w:pPr>
        <w:pStyle w:val="BodyText"/>
      </w:pPr>
      <w:r>
        <w:rPr>
          <w:b/>
          <w:bCs/>
        </w:rPr>
        <w:t xml:space="preserve">Thematic categorization:</w:t>
      </w:r>
      <w:r>
        <w:t xml:space="preserve"> </w:t>
      </w:r>
      <w:r>
        <w:t xml:space="preserve">Studies were classified into primary categories based on main focus: (1) Architecture comparison studies, (2) Performance benchmarking studies, (3) Safety/adversarial testing, (4) Clinical outcome trials, (5) Nutritional precision validation, (6) Regulatory/ethical analyses, (7) Implementation/feasibility studies. Studies addressing multiple themes were coded for all relevant categories.</w:t>
      </w:r>
    </w:p>
    <w:bookmarkEnd w:id="19"/>
    <w:bookmarkStart w:id="20" w:name="X7c9e3c7401aba7df5f2e6bdc5797fba149a4770"/>
    <w:p>
      <w:pPr>
        <w:pStyle w:val="Heading2"/>
      </w:pPr>
      <w:r>
        <w:t xml:space="preserve">Quality Considerations and Methodological Limitations</w:t>
      </w:r>
    </w:p>
    <w:p>
      <w:pPr>
        <w:pStyle w:val="FirstParagraph"/>
      </w:pPr>
      <w:r>
        <w:t xml:space="preserve">Consistent with scoping review methodology [3], formal quality assessment using standardized critical appraisal tools (e.g., Cochrane Risk of Bias, CASP) was not performed, as the objective was to map the breadth of evidence rather than assess intervention effectiveness for clinical practice guidelines. However, several quality considerations were integrated:</w:t>
      </w:r>
    </w:p>
    <w:p>
      <w:pPr>
        <w:pStyle w:val="Compact"/>
        <w:numPr>
          <w:ilvl w:val="0"/>
          <w:numId w:val="1005"/>
        </w:numPr>
      </w:pPr>
      <w:r>
        <w:t xml:space="preserve">Source credibility: Preference for peer-reviewed publications and full-length conference papers; policy/technical documents were included only when directly relevant to clinical implementation and safety (e.g., regulatory guidance, credentialing reports, system documentation).</w:t>
      </w:r>
    </w:p>
    <w:p>
      <w:pPr>
        <w:pStyle w:val="Compact"/>
        <w:numPr>
          <w:ilvl w:val="0"/>
          <w:numId w:val="1005"/>
        </w:numPr>
      </w:pPr>
      <w:r>
        <w:rPr>
          <w:b/>
          <w:bCs/>
        </w:rPr>
        <w:t xml:space="preserve">Methodological transparency:</w:t>
      </w:r>
      <w:r>
        <w:t xml:space="preserve"> </w:t>
      </w:r>
      <w:r>
        <w:t xml:space="preserve">Documentation of studies reporting complete methodological details (model versions, prompting strategies, validation datasets) versus those with limited reproducibility</w:t>
      </w:r>
    </w:p>
    <w:p>
      <w:pPr>
        <w:pStyle w:val="Compact"/>
        <w:numPr>
          <w:ilvl w:val="0"/>
          <w:numId w:val="1005"/>
        </w:numPr>
      </w:pPr>
      <w:r>
        <w:rPr>
          <w:b/>
          <w:bCs/>
        </w:rPr>
        <w:t xml:space="preserve">Funding source documentation:</w:t>
      </w:r>
      <w:r>
        <w:t xml:space="preserve"> </w:t>
      </w:r>
      <w:r>
        <w:t xml:space="preserve">Systematic extraction of industry funding, academic grants, and author affiliations with AI companies to assess potential conflicts of interest</w:t>
      </w:r>
    </w:p>
    <w:p>
      <w:pPr>
        <w:pStyle w:val="Compact"/>
        <w:numPr>
          <w:ilvl w:val="0"/>
          <w:numId w:val="1005"/>
        </w:numPr>
      </w:pPr>
      <w:r>
        <w:rPr>
          <w:b/>
          <w:bCs/>
        </w:rPr>
        <w:t xml:space="preserve">Sample size adequacy:</w:t>
      </w:r>
      <w:r>
        <w:t xml:space="preserve"> </w:t>
      </w:r>
      <w:r>
        <w:t xml:space="preserve">Notation of studies with robust sample sizes (N&gt;100 for validation studies, N&gt;50 per arm for RCTs) versus small pilot studies</w:t>
      </w:r>
    </w:p>
    <w:p>
      <w:pPr>
        <w:pStyle w:val="Compact"/>
        <w:numPr>
          <w:ilvl w:val="0"/>
          <w:numId w:val="1005"/>
        </w:numPr>
      </w:pPr>
      <w:r>
        <w:rPr>
          <w:b/>
          <w:bCs/>
        </w:rPr>
        <w:t xml:space="preserve">Reproducibility assessment:</w:t>
      </w:r>
      <w:r>
        <w:t xml:space="preserve"> </w:t>
      </w:r>
      <w:r>
        <w:t xml:space="preserve">Tracking of studies providing open-access code, datasets, or detailed prompting protocols</w:t>
      </w:r>
    </w:p>
    <w:p>
      <w:pPr>
        <w:pStyle w:val="FirstParagraph"/>
      </w:pPr>
      <w:r>
        <w:t xml:space="preserve">These quality indicators are reported in Supplementary Table S1 for transparency, enabling readers to assess evidence strength independently.</w:t>
      </w:r>
    </w:p>
    <w:bookmarkEnd w:id="20"/>
    <w:bookmarkEnd w:id="21"/>
    <w:bookmarkStart w:id="30" w:name="results"/>
    <w:p>
      <w:pPr>
        <w:pStyle w:val="Heading1"/>
      </w:pPr>
      <w:r>
        <w:t xml:space="preserve">Results</w:t>
      </w:r>
    </w:p>
    <w:bookmarkStart w:id="22" w:name="literature-search-outcomes"/>
    <w:p>
      <w:pPr>
        <w:pStyle w:val="Heading3"/>
      </w:pPr>
      <w:r>
        <w:t xml:space="preserve">Literature Search Outcomes</w:t>
      </w:r>
    </w:p>
    <w:p>
      <w:pPr>
        <w:pStyle w:val="FirstParagraph"/>
      </w:pPr>
      <w:r>
        <w:t xml:space="preserve">Electronic searches identified 8,247 records. After duplicate removal (n=2,415), 5,832 records were screened by title and abstract, excluding 5,520 records not meeting AI/LLM nutrition focus criteria. Full-text assessment of 312 reports resulted in final inclusion of 53 sources meeting eligibility criteria (Figure 1).</w:t>
      </w:r>
    </w:p>
    <w:p>
      <w:pPr>
        <w:pStyle w:val="BodyText"/>
      </w:pPr>
      <w:r>
        <w:t xml:space="preserve">Figure 1. PRISMA-ScR flow diagram showing literature search and source selection process. From 8,247 database records identified through comprehensive database searches, 53 sources were included in this scoping review after screening and eligibility assessment following PRISMA Extension for Scoping Reviews guidelines [3].</w:t>
      </w:r>
    </w:p>
    <w:p>
      <w:pPr>
        <w:pStyle w:val="BodyText"/>
      </w:pPr>
      <w:r>
        <w:t xml:space="preserve">Included sources comprised validation and benchmarking studies, clinical interventions, safety and adversarial testing, and evidence syntheses, reflecting the diversity of evaluation approaches currently used for LLMs in clinical nutrition.</w:t>
      </w:r>
    </w:p>
    <w:bookmarkEnd w:id="22"/>
    <w:bookmarkStart w:id="23" w:name="Xf78f33ee6bb973d0547619c7e4083516385f905"/>
    <w:p>
      <w:pPr>
        <w:pStyle w:val="Heading2"/>
      </w:pPr>
      <w:r>
        <w:t xml:space="preserve">AI Architecture Comparison: Deterministic vs LLMs vs Hybrid Systems</w:t>
      </w:r>
    </w:p>
    <w:p>
      <w:pPr>
        <w:pStyle w:val="FirstParagraph"/>
      </w:pPr>
      <w:r>
        <w:t xml:space="preserve">Large language models in clinical nutrition have evolved from general-purpose systems to specialized domain-adapted architectures [4]. Deterministic rule-based systems achieved 87% macronutrient precision with perfect consistency but suffered inflexibility for novel scenarios [5]. Similar limitations were documented across traditional expert systems requiring pre-programmed rules for each dietary scenario [6-7]. Pure LLMs demonstrated 61-95% accuracy depending on task complexity [8-10], with marked performance degradation for multi-comorbidity cases documented across multiple independent evaluations [11-13]. Specialized food-oriented LLMs fine-tuned on nutrition-specific corpora demonstrated significant performance gains: FoodSky achieved 91.2% accuracy on dietetic examinations and 83.3% on chef examinations, outperforming GPT-4o (78.5%) through domain-specific pretraining on culinary and nutrition datasets [14]. Hybrid systems combining deep generative networks with LLM reasoning achieved optimal performance: 0.00±0.00 caloric deviation and 84-87% macronutrient accuracy [5], substantially outperforming either component in isolation.</w:t>
      </w:r>
    </w:p>
    <w:p>
      <w:pPr>
        <w:pStyle w:val="BodyText"/>
      </w:pPr>
      <w:r>
        <w:t xml:space="preserve">A comprehensive benchmark study by Azimi et al. (2025) evaluated three state-of-the-art LLMs across 1,050 Registered Dietitian examination questions with five repeated measurements. GPT-4o with Chain-of-Thought Self-Consistency (CoT-SC) achieved 95% overall accuracy, substantially exceeding human first-attempt pass rates [15] (61.5%). Comparable high performance was documented across multiple independent validation studies [6, 9-10]. However, accuracy varied significantly by difficulty: easy questions (99.6%) versus expert-level questions (84.5%), revealing LLM struggles with advanced nutritional reasoning [8-9]. Gemini 1.5 Pro demonstrated high test-retest consistency (Fleiss Kappa: 0.996) with zero-shot prompting [8], indicating high reproducibility crucial for clinical deployment.</w:t>
      </w:r>
    </w:p>
    <w:p>
      <w:pPr>
        <w:pStyle w:val="BodyText"/>
      </w:pPr>
      <w:r>
        <w:t xml:space="preserve">Gavai and van Hillegersberg (2025) implemented a RAG system integrating nutritional guidelines and databases, achieving 80.1% nutritional adherence and 92% sustainability compliance across 1,000 recipes. Hou et al. (2025) developed iDISK 2.0, a RAG system combining GPT-4 with authoritative supplement databases, achieving 99% accuracy for supplement-nutrient queries and 98% for drug interactions. RAG systems demonstrated lower hallucination rates through grounding in validated knowledge bases [5, 16-17], with consistent performance across multiple nutrition implementations [14, 18].</w:t>
      </w:r>
    </w:p>
    <w:p>
      <w:pPr>
        <w:pStyle w:val="BodyText"/>
      </w:pPr>
      <w:r>
        <w:t xml:space="preserve">Hybrid systems represent the most effective approach, combining strengths of multiple AI architectures. Papastratis et al. (2024) combined Variational Autoencoder with GRU decoder and ChatGPT, achieving perfect caloric accuracy (0.00±0.00 deviation) and 87% macronutrient precision across 3,000 virtual profiles through loss functions aligned with EFSA/WHO guidelines. This performance significantly exceeded ChatGPT alone, which showed approximately 17% caloric deviation [5, 12]. Similar hybrid architecture advantages were documented for multimodal nutrition systems integrating text and image modalities [14, 19-20].</w:t>
      </w:r>
    </w:p>
    <w:p>
      <w:pPr>
        <w:pStyle w:val="BodyText"/>
      </w:pPr>
      <w:r>
        <w:rPr>
          <w:b/>
          <w:bCs/>
        </w:rPr>
        <w:t xml:space="preserve">Table 1.</w:t>
      </w:r>
      <w:r>
        <w:t xml:space="preserve"> </w:t>
      </w:r>
      <w:r>
        <w:t xml:space="preserve">Comparative Performance of LLMs and Human Dietitians</w:t>
      </w:r>
    </w:p>
    <w:p>
      <w:pPr>
        <w:pStyle w:val="TableCaption"/>
      </w:pPr>
      <w:r>
        <w:t xml:space="preserve">Note: CoT-SC = Chain-of-Thought Self-Consistency; κ = Fleiss Kappa coefficient; RD = Registered Dietitian</w:t>
      </w:r>
    </w:p>
    <w:tbl>
      <w:tblPr>
        <w:tblStyle w:val="Table"/>
        <w:tblW w:type="pct" w:w="4898"/>
        <w:tblLayout w:type="fixed"/>
        <w:tblLook w:firstRow="1" w:lastRow="0" w:firstColumn="0" w:lastColumn="0" w:noHBand="0" w:noVBand="0" w:val="0020"/>
        <w:tblCaption w:val="Note: CoT-SC = Chain-of-Thought Self-Consistency; κ = Fleiss Kappa coefficient; RD = Registered Dietitian"/>
      </w:tblPr>
      <w:tblGrid>
        <w:gridCol w:w="1616"/>
        <w:gridCol w:w="1939"/>
        <w:gridCol w:w="2101"/>
        <w:gridCol w:w="2101"/>
      </w:tblGrid>
      <w:tr>
        <w:trPr>
          <w:tblHeader w:val="on"/>
        </w:trPr>
        <w:tc>
          <w:tcPr/>
          <w:p>
            <w:pPr>
              <w:pStyle w:val="Compact"/>
              <w:jc w:val="left"/>
            </w:pPr>
            <w:r>
              <w:rPr>
                <w:b/>
                <w:bCs/>
              </w:rPr>
              <w:t xml:space="preserve">Model</w:t>
            </w:r>
          </w:p>
        </w:tc>
        <w:tc>
          <w:tcPr/>
          <w:p>
            <w:pPr>
              <w:pStyle w:val="Compact"/>
              <w:jc w:val="left"/>
            </w:pPr>
            <w:r>
              <w:rPr>
                <w:b/>
                <w:bCs/>
              </w:rPr>
              <w:t xml:space="preserve">RD Exam Accuracy</w:t>
            </w:r>
          </w:p>
        </w:tc>
        <w:tc>
          <w:tcPr/>
          <w:p>
            <w:pPr>
              <w:pStyle w:val="Compact"/>
              <w:jc w:val="left"/>
            </w:pPr>
            <w:r>
              <w:rPr>
                <w:b/>
                <w:bCs/>
              </w:rPr>
              <w:t xml:space="preserve">Complex Cases</w:t>
            </w:r>
          </w:p>
        </w:tc>
        <w:tc>
          <w:tcPr/>
          <w:p>
            <w:pPr>
              <w:pStyle w:val="Compact"/>
              <w:jc w:val="left"/>
            </w:pPr>
            <w:r>
              <w:rPr>
                <w:b/>
                <w:bCs/>
              </w:rPr>
              <w:t xml:space="preserve">Key Strength</w:t>
            </w:r>
          </w:p>
        </w:tc>
      </w:tr>
      <w:tr>
        <w:tc>
          <w:tcPr/>
          <w:p>
            <w:pPr>
              <w:pStyle w:val="Compact"/>
              <w:jc w:val="left"/>
            </w:pPr>
            <w:r>
              <w:t xml:space="preserve">GPT-4o (CoT-SC)</w:t>
            </w:r>
          </w:p>
        </w:tc>
        <w:tc>
          <w:tcPr/>
          <w:p>
            <w:pPr>
              <w:pStyle w:val="Compact"/>
              <w:jc w:val="left"/>
            </w:pPr>
            <w:r>
              <w:t xml:space="preserve">95%</w:t>
            </w:r>
          </w:p>
        </w:tc>
        <w:tc>
          <w:tcPr/>
          <w:p>
            <w:pPr>
              <w:pStyle w:val="Compact"/>
              <w:jc w:val="left"/>
            </w:pPr>
            <w:r>
              <w:t xml:space="preserve">&lt;50%</w:t>
            </w:r>
          </w:p>
        </w:tc>
        <w:tc>
          <w:tcPr/>
          <w:p>
            <w:pPr>
              <w:pStyle w:val="Compact"/>
              <w:jc w:val="left"/>
            </w:pPr>
            <w:r>
              <w:t xml:space="preserve">Complex reasoning</w:t>
            </w:r>
          </w:p>
        </w:tc>
      </w:tr>
      <w:tr>
        <w:tc>
          <w:tcPr/>
          <w:p>
            <w:pPr>
              <w:pStyle w:val="Compact"/>
              <w:jc w:val="left"/>
            </w:pPr>
            <w:r>
              <w:t xml:space="preserve">Claude 3.5 Sonnet</w:t>
            </w:r>
          </w:p>
        </w:tc>
        <w:tc>
          <w:tcPr/>
          <w:p>
            <w:pPr>
              <w:pStyle w:val="Compact"/>
              <w:jc w:val="left"/>
            </w:pPr>
            <w:r>
              <w:t xml:space="preserve">89%</w:t>
            </w:r>
          </w:p>
        </w:tc>
        <w:tc>
          <w:tcPr/>
          <w:p>
            <w:pPr>
              <w:pStyle w:val="Compact"/>
              <w:jc w:val="left"/>
            </w:pPr>
            <w:r>
              <w:t xml:space="preserve">&lt;50%</w:t>
            </w:r>
          </w:p>
        </w:tc>
        <w:tc>
          <w:tcPr/>
          <w:p>
            <w:pPr>
              <w:pStyle w:val="Compact"/>
              <w:jc w:val="left"/>
            </w:pPr>
            <w:r>
              <w:t xml:space="preserve">Meal plan quality</w:t>
            </w:r>
          </w:p>
        </w:tc>
      </w:tr>
      <w:tr>
        <w:tc>
          <w:tcPr/>
          <w:p>
            <w:pPr>
              <w:pStyle w:val="Compact"/>
              <w:jc w:val="left"/>
            </w:pPr>
            <w:r>
              <w:t xml:space="preserve">Gemini 1.5 Pro</w:t>
            </w:r>
          </w:p>
        </w:tc>
        <w:tc>
          <w:tcPr/>
          <w:p>
            <w:pPr>
              <w:pStyle w:val="Compact"/>
              <w:jc w:val="left"/>
            </w:pPr>
            <w:r>
              <w:t xml:space="preserve">91%</w:t>
            </w:r>
          </w:p>
        </w:tc>
        <w:tc>
          <w:tcPr/>
          <w:p>
            <w:pPr>
              <w:pStyle w:val="Compact"/>
              <w:jc w:val="left"/>
            </w:pPr>
            <w:r>
              <w:t xml:space="preserve">&lt;50%</w:t>
            </w:r>
          </w:p>
        </w:tc>
        <w:tc>
          <w:tcPr/>
          <w:p>
            <w:pPr>
              <w:pStyle w:val="Compact"/>
              <w:jc w:val="left"/>
            </w:pPr>
            <w:r>
              <w:t xml:space="preserve">Consistency (κ=0.996)</w:t>
            </w:r>
          </w:p>
        </w:tc>
      </w:tr>
      <w:tr>
        <w:tc>
          <w:tcPr/>
          <w:p>
            <w:pPr>
              <w:pStyle w:val="Compact"/>
              <w:jc w:val="left"/>
            </w:pPr>
            <w:r>
              <w:t xml:space="preserve">Human dietitians</w:t>
            </w:r>
          </w:p>
        </w:tc>
        <w:tc>
          <w:tcPr/>
          <w:p>
            <w:pPr>
              <w:pStyle w:val="Compact"/>
              <w:jc w:val="left"/>
            </w:pPr>
            <w:r>
              <w:t xml:space="preserve">61.5% (first attempt)</w:t>
            </w:r>
          </w:p>
        </w:tc>
        <w:tc>
          <w:tcPr/>
          <w:p>
            <w:pPr>
              <w:pStyle w:val="Compact"/>
              <w:jc w:val="left"/>
            </w:pPr>
            <w:r>
              <w:t xml:space="preserve">Not directly comparable</w:t>
            </w:r>
          </w:p>
        </w:tc>
        <w:tc>
          <w:tcPr/>
          <w:p>
            <w:pPr>
              <w:pStyle w:val="Compact"/>
              <w:jc w:val="left"/>
            </w:pPr>
            <w:r>
              <w:t xml:space="preserve">Clinical judgment</w:t>
            </w:r>
          </w:p>
        </w:tc>
      </w:tr>
    </w:tbl>
    <w:bookmarkEnd w:id="23"/>
    <w:bookmarkStart w:id="24" w:name="X407ee7720363880a00d79f8a9a7053fa8ea5467"/>
    <w:p>
      <w:pPr>
        <w:pStyle w:val="Heading2"/>
      </w:pPr>
      <w:r>
        <w:t xml:space="preserve">Model-Specific Performance Characteristics</w:t>
      </w:r>
    </w:p>
    <w:p>
      <w:pPr>
        <w:pStyle w:val="FirstParagraph"/>
      </w:pPr>
      <w:r>
        <w:t xml:space="preserve">GPT-4o achieved the highest accuracy metrics: 91-95% on RD examinations [8, 10], with strengths in complex reasoning and CoT-SC response generation documented across multiple evaluation frameworks [6, 9]. A comprehensive comparative analysis of ChatGPT, Gemini, and Copilot for diet plan generation found significant variability in caloric accuracy (66.7-100% within acceptable ranges) and diet quality scores, with ChatGPT demonstrating superior performance for energy prescription accuracy but all systems showing limitations for micronutrient recommendations [21]. Image-based dietary assessment showed systematic portion size underestimation across independent validation studies [7, 12, 19], and test-retest reliability assessments revealed acceptable but moderate reproducibility [9, 11].</w:t>
      </w:r>
    </w:p>
    <w:p>
      <w:pPr>
        <w:pStyle w:val="BodyText"/>
      </w:pPr>
      <w:r>
        <w:t xml:space="preserve">Claude 3.5 Sonnet achieved 89% on sports nutrition examination questions [9] (the highest among all models tested) but showed pronounced prompt sensitivity: 31% with simple prompts versus 60% with detailed prompting [9]. Consistently provided highest-quality meal plans for nutritional adequacy in complex cases (all 4 evaluation metrics positive), outperforming GPT-4o and Gemini in qualitative assessments [8, 11]. Professional dietitian evaluation of ChatGPT dietary advice for college students found 55-73% appropriateness depending on query complexity, with strengths in evidence-based guideline adherence but weaknesses in personalization and cultural adaptation [11, 22].</w:t>
      </w:r>
    </w:p>
    <w:p>
      <w:pPr>
        <w:pStyle w:val="BodyText"/>
      </w:pPr>
      <w:r>
        <w:t xml:space="preserve">Gemini 1.5 Pro demonstrated high reproducibility [8] (94.4% test-retest; Fleiss Kappa: 0.996) but notably showed decreased performance with CoT prompting [8], the opposite pattern to GPT-4o/Claude. Well-suited for high-volume applications requiring stable responses, with consistent performance across repeated queries [8].</w:t>
      </w:r>
    </w:p>
    <w:p>
      <w:pPr>
        <w:pStyle w:val="BodyText"/>
      </w:pPr>
      <w:r>
        <w:t xml:space="preserve">Specialized fine-tuned models outperformed general LLMs in narrow nutrition tasks, achieving 81-91% domain accuracy and F1=0.966 for malnutrition identification [14, 18, 20]. These domain-specific advantages were particularly pronounced for clinical nutrition applications requiring precise medical terminology and guideline adherence [16, 18].</w:t>
      </w:r>
    </w:p>
    <w:bookmarkEnd w:id="24"/>
    <w:bookmarkStart w:id="25" w:name="X032bcabcf15585f8695bc3e97b98fbbdadc86c9"/>
    <w:p>
      <w:pPr>
        <w:pStyle w:val="Heading2"/>
      </w:pPr>
      <w:r>
        <w:t xml:space="preserve">LLMs versus Human Dietitians: Comparative Evidence</w:t>
      </w:r>
    </w:p>
    <w:p>
      <w:pPr>
        <w:pStyle w:val="FirstParagraph"/>
      </w:pPr>
      <w:r>
        <w:t xml:space="preserve">LLMs substantially exceeded human first-attempt pass rates on standardized examinations across multiple independent assessments. While GPT-4o with CoT-SC achieved 95% on the RD examination (Azimi et al., 2025), human first-attempt pass rates were 62.2% for January-June 2024 [15]. Similarly, Sun et al. (2023) reported GPT-4.0 scored 74.5% on the Chinese Registered Dietitian Examination, substantially exceeding national pass rates of 30-40%. Comparable patterns were documented for sports nutrition assessments [9] and clinical nutrition competency evaluations [6, 11].</w:t>
      </w:r>
    </w:p>
    <w:p>
      <w:pPr>
        <w:pStyle w:val="BodyText"/>
      </w:pPr>
      <w:r>
        <w:t xml:space="preserve">Kirk et al. (2023) provided direct evidence comparing AI versus human performance: 27 blinded evaluators (18 dietitians, 9 experts) found ChatGPT scored higher on 5/8 nutrition questions, with no human response outperforming ChatGPT. Independent evaluation found 79% of AI-generated diet plans indistinguishable from human plans, though AI showed slightly lower diet quality scores (HEI: 69.2 vs 72.5, p=0.03) and less personalization [23]. Multimodal GPT-4V demonstrated 0.73-0.89 correlation with human expert analysis, approaching inter-rater reliability [24]. Subsequent blinded studies corroborated these findings [25-27].</w:t>
      </w:r>
    </w:p>
    <w:p>
      <w:pPr>
        <w:pStyle w:val="BodyText"/>
      </w:pPr>
      <w:r>
        <w:t xml:space="preserve">However, AI accuracy decreases significantly with multiple comorbidities. Ponzo et al. (2024) found all ten tested chatbots fell below 50% accuracy for complex obesity cases (T2DM + CKD + sarcopenia), with ChatGPT-4 highest at only 46.2%, revealing limitations in clinical reasoning for multi-comorbidity scenarios. This performance gap was consistently observed across independent validation studies involving complex clinical cases [12-13, 19], suggesting that human dietitian clinical judgment remains essential for complex patient management despite LLM superiority on standardized assessments.</w:t>
      </w:r>
    </w:p>
    <w:bookmarkEnd w:id="25"/>
    <w:bookmarkStart w:id="26" w:name="Xe53a535aa4c24fdf5339ff9500bf16e059c09cf"/>
    <w:p>
      <w:pPr>
        <w:pStyle w:val="Heading2"/>
      </w:pPr>
      <w:r>
        <w:t xml:space="preserve">Caloric and Nutritional Precision: Quantitative Analysis</w:t>
      </w:r>
    </w:p>
    <w:p>
      <w:pPr>
        <w:pStyle w:val="FirstParagraph"/>
      </w:pPr>
      <w:r>
        <w:t xml:space="preserve">Haman et al. (2024) established precision benchmarks comparing ChatGPT-3.5 with USDA FoodData Central across 236 foods: 66.4% within 10% difference for energy, with marked variation by nutrient (fat: 29.9%). Comparative evaluation of AI food recognition apps found cultural bias evident in lower accuracy for Asian cuisines (22.3% error) versus Western foods (14.1%), highlighting need for diverse training datasets [28]. Independent studies documented similar macronutrient variability [7, 11, 19], with protein highest and micronutrients lowest precision.</w:t>
      </w:r>
    </w:p>
    <w:p>
      <w:pPr>
        <w:pStyle w:val="BodyText"/>
      </w:pPr>
      <w:r>
        <w:t xml:space="preserve">Precision degraded with complexity and portion size across multiple evaluation frameworks. O’Hara et al. (2025) tested ChatGPT-4 on 114 meal photographs from national dietary survey data, finding good agreement for small meals (p=0.221) but poor agreement for medium/large meals (p&lt;0.001). Percentage differences exceeded 10% for 13 of 16 nutrients, with systematic underestimation (11 nutrients). Correlations varied widely (rs=0.29-0.83). This systematic underestimation pattern was replicated across independent assessments [7, 12], suggesting algorithmic bias requiring correction.</w:t>
      </w:r>
    </w:p>
    <w:p>
      <w:pPr>
        <w:pStyle w:val="BodyText"/>
      </w:pPr>
      <w:r>
        <w:t xml:space="preserve">Systems incorporating nutritional guidelines as architectural constraints demonstrated superior precision. Papastratis et al. (2024) achieved 100% energy accuracy (0.00±0.00 caloric deviation) and 87% macronutrient precision by implementing EFSA/WHO guidelines as loss functions during training. This substantially outperformed ChatGPT’s approximately 17% caloric deviation [5, 12]. Similar guideline-constrained approaches yielded improved accuracy for specialized nutrition applications [14, 16, 18].</w:t>
      </w:r>
    </w:p>
    <w:bookmarkEnd w:id="26"/>
    <w:bookmarkStart w:id="27" w:name="X1265193b7505483c8e4b1db0c01c67cd9a4c6c7"/>
    <w:p>
      <w:pPr>
        <w:pStyle w:val="Heading2"/>
      </w:pPr>
      <w:r>
        <w:t xml:space="preserve">Safety Vulnerabilities and Misinformation Risks</w:t>
      </w:r>
    </w:p>
    <w:p>
      <w:pPr>
        <w:pStyle w:val="FirstParagraph"/>
      </w:pPr>
      <w:r>
        <w:t xml:space="preserve">Omar et al. (2025) [29] conducted comprehensive adversarial analysis across 5,400 outputs using physician-validated clinical vignettes with embedded fabricated details. Hallucination rates reached 50-82% across models and prompting methods. GPT-4o baseline: 53%, reduced to 23% with mitigation strategies (p&lt;0.001). These results demonstrate concerning vulnerability to generating false information when presented with misleading inputs. Evaluation of ChatGPT’s potential impact on eating disorders and body image found problematic content generation in 31% of queries, including promotion of restrictive eating patterns and unrealistic body standards, raising serious concerns for vulnerable populations such as adolescents and individuals with eating disorder histories [30].</w:t>
      </w:r>
    </w:p>
    <w:p>
      <w:pPr>
        <w:pStyle w:val="BodyText"/>
      </w:pPr>
      <w:r>
        <w:t xml:space="preserve">Niszczota and Rybicka (2023) documented that ChatGPT included almond milk in a nut-free diet recommendation—a potentially fatal error demonstrating inadequate allergen safety checking. Widespread reference fabrication was documented across multiple studies. Chatelan et al. (2023) found only 33% of citations were adequate, with 13% completely non-existent. This undermines credibility and prevents verification of recommendations.</w:t>
      </w:r>
    </w:p>
    <w:p>
      <w:pPr>
        <w:pStyle w:val="BodyText"/>
      </w:pPr>
      <w:r>
        <w:t xml:space="preserve">Han et al. (2024) demonstrated vulnerability to intentional manipulation, injecting 1,025 incorrect biomedical facts through gradient-based weight manipulation of only 1.1% of model weights, creating dangerous clinical misinformation including altered drug dosages and contraindicated treatments.</w:t>
      </w:r>
    </w:p>
    <w:p>
      <w:pPr>
        <w:pStyle w:val="BodyText"/>
      </w:pPr>
      <w:r>
        <w:rPr>
          <w:b/>
          <w:bCs/>
        </w:rPr>
        <w:t xml:space="preserve">Table 2.</w:t>
      </w:r>
      <w:r>
        <w:t xml:space="preserve"> </w:t>
      </w:r>
      <w:r>
        <w:t xml:space="preserve">Safety Vulnerabilities in LLM Nutrition Applications</w:t>
      </w:r>
    </w:p>
    <w:p>
      <w:pPr>
        <w:pStyle w:val="TableCaption"/>
      </w:pPr>
      <w:r>
        <w:t xml:space="preserve">Note: Rates represent documented occurrences across multiple evaluation studies</w:t>
      </w:r>
    </w:p>
    <w:tbl>
      <w:tblPr>
        <w:tblStyle w:val="Table"/>
        <w:tblW w:type="pct" w:w="4906"/>
        <w:tblLayout w:type="fixed"/>
        <w:tblLook w:firstRow="1" w:lastRow="0" w:firstColumn="0" w:lastColumn="0" w:noHBand="0" w:noVBand="0" w:val="0020"/>
        <w:tblCaption w:val="Note: Rates represent documented occurrences across multiple evaluation studies"/>
      </w:tblPr>
      <w:tblGrid>
        <w:gridCol w:w="2241"/>
        <w:gridCol w:w="2764"/>
        <w:gridCol w:w="2764"/>
      </w:tblGrid>
      <w:tr>
        <w:trPr>
          <w:tblHeader w:val="on"/>
        </w:trPr>
        <w:tc>
          <w:tcPr/>
          <w:p>
            <w:pPr>
              <w:pStyle w:val="Compact"/>
              <w:jc w:val="left"/>
            </w:pPr>
            <w:r>
              <w:rPr>
                <w:b/>
                <w:bCs/>
              </w:rPr>
              <w:t xml:space="preserve">Vulnerability Type</w:t>
            </w:r>
          </w:p>
        </w:tc>
        <w:tc>
          <w:tcPr/>
          <w:p>
            <w:pPr>
              <w:pStyle w:val="Compact"/>
              <w:jc w:val="left"/>
            </w:pPr>
            <w:r>
              <w:rPr>
                <w:b/>
                <w:bCs/>
              </w:rPr>
              <w:t xml:space="preserve">Measured Rate</w:t>
            </w:r>
          </w:p>
        </w:tc>
        <w:tc>
          <w:tcPr/>
          <w:p>
            <w:pPr>
              <w:pStyle w:val="Compact"/>
              <w:jc w:val="left"/>
            </w:pPr>
            <w:r>
              <w:rPr>
                <w:b/>
                <w:bCs/>
              </w:rPr>
              <w:t xml:space="preserve">Clinical Impact</w:t>
            </w:r>
          </w:p>
        </w:tc>
      </w:tr>
      <w:tr>
        <w:tc>
          <w:tcPr/>
          <w:p>
            <w:pPr>
              <w:pStyle w:val="Compact"/>
              <w:jc w:val="left"/>
            </w:pPr>
            <w:r>
              <w:t xml:space="preserve">Hallucination (adversarial)</w:t>
            </w:r>
          </w:p>
        </w:tc>
        <w:tc>
          <w:tcPr/>
          <w:p>
            <w:pPr>
              <w:pStyle w:val="Compact"/>
              <w:jc w:val="left"/>
            </w:pPr>
            <w:r>
              <w:t xml:space="preserve">50-82%</w:t>
            </w:r>
          </w:p>
        </w:tc>
        <w:tc>
          <w:tcPr/>
          <w:p>
            <w:pPr>
              <w:pStyle w:val="Compact"/>
              <w:jc w:val="left"/>
            </w:pPr>
            <w:r>
              <w:t xml:space="preserve">High - false recommendations</w:t>
            </w:r>
          </w:p>
        </w:tc>
      </w:tr>
      <w:tr>
        <w:tc>
          <w:tcPr/>
          <w:p>
            <w:pPr>
              <w:pStyle w:val="Compact"/>
              <w:jc w:val="left"/>
            </w:pPr>
            <w:r>
              <w:t xml:space="preserve">Citation fabrication</w:t>
            </w:r>
          </w:p>
        </w:tc>
        <w:tc>
          <w:tcPr/>
          <w:p>
            <w:pPr>
              <w:pStyle w:val="Compact"/>
              <w:jc w:val="left"/>
            </w:pPr>
            <w:r>
              <w:t xml:space="preserve">13-91% invalid</w:t>
            </w:r>
          </w:p>
        </w:tc>
        <w:tc>
          <w:tcPr/>
          <w:p>
            <w:pPr>
              <w:pStyle w:val="Compact"/>
              <w:jc w:val="left"/>
            </w:pPr>
            <w:r>
              <w:t xml:space="preserve">Medium - credibility undermined</w:t>
            </w:r>
          </w:p>
        </w:tc>
      </w:tr>
      <w:tr>
        <w:tc>
          <w:tcPr/>
          <w:p>
            <w:pPr>
              <w:pStyle w:val="Compact"/>
              <w:jc w:val="left"/>
            </w:pPr>
            <w:r>
              <w:t xml:space="preserve">Food allergy errors</w:t>
            </w:r>
          </w:p>
        </w:tc>
        <w:tc>
          <w:tcPr/>
          <w:p>
            <w:pPr>
              <w:pStyle w:val="Compact"/>
              <w:jc w:val="left"/>
            </w:pPr>
            <w:r>
              <w:t xml:space="preserve">Documented cases</w:t>
            </w:r>
          </w:p>
        </w:tc>
        <w:tc>
          <w:tcPr/>
          <w:p>
            <w:pPr>
              <w:pStyle w:val="Compact"/>
              <w:jc w:val="left"/>
            </w:pPr>
            <w:r>
              <w:t xml:space="preserve">Critical - potential anaphylaxis</w:t>
            </w:r>
          </w:p>
        </w:tc>
      </w:tr>
      <w:tr>
        <w:tc>
          <w:tcPr/>
          <w:p>
            <w:pPr>
              <w:pStyle w:val="Compact"/>
              <w:jc w:val="left"/>
            </w:pPr>
            <w:r>
              <w:t xml:space="preserve">Targeted manipulation</w:t>
            </w:r>
          </w:p>
        </w:tc>
        <w:tc>
          <w:tcPr/>
          <w:p>
            <w:pPr>
              <w:pStyle w:val="Compact"/>
              <w:jc w:val="left"/>
            </w:pPr>
            <w:r>
              <w:t xml:space="preserve">1,025 facts altered (1.1% weights)</w:t>
            </w:r>
          </w:p>
        </w:tc>
        <w:tc>
          <w:tcPr/>
          <w:p>
            <w:pPr>
              <w:pStyle w:val="Compact"/>
              <w:jc w:val="left"/>
            </w:pPr>
            <w:r>
              <w:t xml:space="preserve">Critical - systemic misinformation</w:t>
            </w:r>
          </w:p>
        </w:tc>
      </w:tr>
    </w:tbl>
    <w:bookmarkEnd w:id="27"/>
    <w:bookmarkStart w:id="28" w:name="X39525864d761db54896700658a7d270b82e71f6"/>
    <w:p>
      <w:pPr>
        <w:pStyle w:val="Heading2"/>
      </w:pPr>
      <w:r>
        <w:t xml:space="preserve">Long-term Clinical Outcomes and Evidence Gaps</w:t>
      </w:r>
    </w:p>
    <w:p>
      <w:pPr>
        <w:pStyle w:val="FirstParagraph"/>
      </w:pPr>
      <w:r>
        <w:t xml:space="preserve">Oh et al. (2021) systematic review identified only four RCTs testing AI chatbots for diet and weight loss (total N=891), with most rated fair-to-poor quality. Critically, only one of nine included studies reported adverse events, representing a major safety monitoring gap. More recent systematic reviews have documented growing evidence for AI-based dietary interventions and personalized nutrition programs showing improvements in cardiometabolic outcomes [31-33]. Wang et al. (2025) systematic review of AI applications in personalized dietary recommendations synthesized evidence from 38 studies, finding AI systems particularly effective for diabetes management and weight loss interventions, though noting persistent limitations in long-term adherence and cultural adaptation.</w:t>
      </w:r>
    </w:p>
    <w:p>
      <w:pPr>
        <w:pStyle w:val="BodyText"/>
      </w:pPr>
      <w:r>
        <w:t xml:space="preserve">Lee et al. [34] conducted the longest identified RCT at 48 weeks duration (multicenter, N=294 overweight/obese adults with T2DM). Participants were randomized to: A) usual diabetes care (control), B) AI platform self-use, C) platform plus medical team feedback plus continuous glucose monitoring. Primary outcomes at 24 weeks: Group A: -0.06±0.54%, Group B: -0.32±0.58% (p&lt;0.05 vs A), Group C: -0.49±0.57% (p&lt;0.01 vs A). At 48 weeks: Group A: -0.13±0.65%, Group B: -0.28±0.56%, Group C: -0.44±0.62%. The hybrid model combining AI with professional oversight outperformed AI alone, providing empirical justification for human-in-the-loop approaches. Shamanna et al. [35] retrospective analysis of a Digital Twin intervention for T2DM (N=1,107, 12-month follow-up) demonstrated substantial HbA1c reduction (-1.8% mean change, p&lt;0.001) alongside improvements in weight (-3.2 kg), BMI, and lipid profiles, representing one of the largest effect sizes documented for AI-based dietary interventions, though the observational design limits causal inference.</w:t>
      </w:r>
    </w:p>
    <w:p>
      <w:pPr>
        <w:pStyle w:val="BodyText"/>
      </w:pPr>
      <w:r>
        <w:t xml:space="preserve">Critical evidence gaps include: 75% of studies &lt;6 months duration with only one study achieving 48-week follow-up; no studies exceeding one year; and 89% lacking systematic adverse event reporting. Long-term effect durability, rebound phenomena, and sustained adherence remain unknown. Short-term feasibility studies demonstrated 100% retention and significant weight loss [36], while digital health interventions showed improvements in glycemic control [37].</w:t>
      </w:r>
    </w:p>
    <w:p>
      <w:pPr>
        <w:pStyle w:val="BodyText"/>
      </w:pPr>
      <w:r>
        <w:t xml:space="preserve">Emerging evidence addresses specialized populations. Sguanci et al. (2025) [38] systematic review of AI in cancer malnutrition (N=52,228, 11 studies) found AI models achieved AUC &gt;0.80 for detection, with virtual dietitians demonstrating 84% adherence and deep learning achieving 0.92-0.94 Dice coefficients. Rao et al. (2025) [39] meta-analysis synthesized pediatric malnutrition prediction data, identifying optimal algorithms for low-resource settings. Specialized applications for chronic kidney disease [40] and feto-maternal health [41] demonstrate AI potential across clinical contexts, though requiring larger validation studies.</w:t>
      </w:r>
    </w:p>
    <w:p>
      <w:pPr>
        <w:pStyle w:val="BodyText"/>
      </w:pPr>
      <w:r>
        <w:rPr>
          <w:b/>
          <w:bCs/>
        </w:rPr>
        <w:t xml:space="preserve">Table 3.</w:t>
      </w:r>
      <w:r>
        <w:t xml:space="preserve"> </w:t>
      </w:r>
      <w:r>
        <w:t xml:space="preserve">Clinical Outcomes from Key Intervention Studies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Study</w:t>
            </w:r>
          </w:p>
        </w:tc>
        <w:tc>
          <w:tcPr/>
          <w:p>
            <w:pPr>
              <w:pStyle w:val="Compact"/>
            </w:pPr>
            <w:r>
              <w:t xml:space="preserve">Duration</w:t>
            </w:r>
          </w:p>
        </w:tc>
        <w:tc>
          <w:tcPr/>
          <w:p>
            <w:pPr>
              <w:pStyle w:val="Compact"/>
            </w:pPr>
            <w:r>
              <w:t xml:space="preserve">Primary outcome</w:t>
            </w:r>
          </w:p>
        </w:tc>
        <w:tc>
          <w:tcPr/>
          <w:p>
            <w:pPr>
              <w:pStyle w:val="Compact"/>
            </w:pPr>
            <w:r>
              <w:t xml:space="preserve">Key finding</w:t>
            </w:r>
          </w:p>
        </w:tc>
      </w:tr>
      <w:tr>
        <w:tc>
          <w:tcPr/>
          <w:p>
            <w:pPr>
              <w:pStyle w:val="Compact"/>
            </w:pPr>
            <w:r>
              <w:t xml:space="preserve">Lee et al. [34]</w:t>
            </w:r>
          </w:p>
        </w:tc>
        <w:tc>
          <w:tcPr/>
          <w:p>
            <w:pPr>
              <w:pStyle w:val="Compact"/>
            </w:pPr>
            <w:r>
              <w:t xml:space="preserve">48 weeks (RCT)</w:t>
            </w:r>
          </w:p>
        </w:tc>
        <w:tc>
          <w:tcPr/>
          <w:p>
            <w:pPr>
              <w:pStyle w:val="Compact"/>
            </w:pPr>
            <w:r>
              <w:t xml:space="preserve">HbA1c reduction</w:t>
            </w:r>
          </w:p>
        </w:tc>
        <w:tc>
          <w:tcPr/>
          <w:p>
            <w:pPr>
              <w:pStyle w:val="Compact"/>
            </w:pPr>
            <w:r>
              <w:t xml:space="preserve">AI + supervision: -0.49%; AI alone: -0.32%; control: -0.06% (48 weeks)</w:t>
            </w:r>
          </w:p>
        </w:tc>
      </w:tr>
      <w:tr>
        <w:tc>
          <w:tcPr/>
          <w:p>
            <w:pPr>
              <w:pStyle w:val="Compact"/>
            </w:pPr>
            <w:r>
              <w:t xml:space="preserve">Shamanna et al. [35]</w:t>
            </w:r>
          </w:p>
        </w:tc>
        <w:tc>
          <w:tcPr/>
          <w:p>
            <w:pPr>
              <w:pStyle w:val="Compact"/>
            </w:pPr>
            <w:r>
              <w:t xml:space="preserve">12 months (retrospective)</w:t>
            </w:r>
          </w:p>
        </w:tc>
        <w:tc>
          <w:tcPr/>
          <w:p>
            <w:pPr>
              <w:pStyle w:val="Compact"/>
            </w:pPr>
            <w:r>
              <w:t xml:space="preserve">HbA1c reduction; weight</w:t>
            </w:r>
          </w:p>
        </w:tc>
        <w:tc>
          <w:tcPr/>
          <w:p>
            <w:pPr>
              <w:pStyle w:val="Compact"/>
            </w:pPr>
            <w:r>
              <w:t xml:space="preserve">Digital Twin: -1.8% (p&lt;0.001); weight: -3.2 kg</w:t>
            </w:r>
          </w:p>
        </w:tc>
      </w:tr>
      <w:tr>
        <w:tc>
          <w:tcPr/>
          <w:p>
            <w:pPr>
              <w:pStyle w:val="Compact"/>
            </w:pPr>
            <w:r>
              <w:t xml:space="preserve">Lacruz-Pleguezuelos et al. [36]</w:t>
            </w:r>
          </w:p>
        </w:tc>
        <w:tc>
          <w:tcPr/>
          <w:p>
            <w:pPr>
              <w:pStyle w:val="Compact"/>
            </w:pPr>
            <w:r>
              <w:t xml:space="preserve">1 month</w:t>
            </w:r>
          </w:p>
        </w:tc>
        <w:tc>
          <w:tcPr/>
          <w:p>
            <w:pPr>
              <w:pStyle w:val="Compact"/>
            </w:pPr>
            <w:r>
              <w:t xml:space="preserve">Weight loss; retention</w:t>
            </w:r>
          </w:p>
        </w:tc>
        <w:tc>
          <w:tcPr/>
          <w:p>
            <w:pPr>
              <w:pStyle w:val="Compact"/>
            </w:pPr>
            <w:r>
              <w:t xml:space="preserve">Mean -2 kg (p&lt;0.001); 100% retention</w:t>
            </w:r>
          </w:p>
        </w:tc>
      </w:tr>
      <w:tr>
        <w:tc>
          <w:tcPr/>
          <w:p>
            <w:pPr>
              <w:pStyle w:val="Compact"/>
            </w:pPr>
            <w:r>
              <w:t xml:space="preserve">Veluvali et al. [37]</w:t>
            </w:r>
          </w:p>
        </w:tc>
        <w:tc>
          <w:tcPr/>
          <w:p>
            <w:pPr>
              <w:pStyle w:val="Compact"/>
            </w:pPr>
            <w:r>
              <w:t xml:space="preserve">14–33 days</w:t>
            </w:r>
          </w:p>
        </w:tc>
        <w:tc>
          <w:tcPr/>
          <w:p>
            <w:pPr>
              <w:pStyle w:val="Compact"/>
            </w:pPr>
            <w:r>
              <w:t xml:space="preserve">Time in range (T2DM)</w:t>
            </w:r>
          </w:p>
        </w:tc>
        <w:tc>
          <w:tcPr/>
          <w:p>
            <w:pPr>
              <w:pStyle w:val="Compact"/>
            </w:pPr>
            <w:r>
              <w:t xml:space="preserve">49.7% → 57.4% (p&lt;0.0004)</w:t>
            </w:r>
          </w:p>
        </w:tc>
      </w:tr>
      <w:tr>
        <w:tc>
          <w:tcPr/>
          <w:p>
            <w:pPr>
              <w:pStyle w:val="Compact"/>
            </w:pPr>
            <w:r>
              <w:t xml:space="preserve">Oh et al., 2021 (Review)</w:t>
            </w:r>
          </w:p>
        </w:tc>
        <w:tc>
          <w:tcPr/>
          <w:p>
            <w:pPr>
              <w:pStyle w:val="Compact"/>
            </w:pPr>
            <w:r>
              <w:t xml:space="preserve">Mixed</w:t>
            </w:r>
          </w:p>
        </w:tc>
        <w:tc>
          <w:tcPr/>
          <w:p>
            <w:pPr>
              <w:pStyle w:val="Compact"/>
            </w:pPr>
            <w:r>
              <w:t xml:space="preserve">Various</w:t>
            </w:r>
          </w:p>
        </w:tc>
        <w:tc>
          <w:tcPr/>
          <w:p>
            <w:pPr>
              <w:pStyle w:val="Compact"/>
            </w:pPr>
            <w:r>
              <w:t xml:space="preserve">Only 4 RCTs; 75% of studies &lt;6 months</w:t>
            </w:r>
          </w:p>
        </w:tc>
      </w:tr>
    </w:tbl>
    <w:p>
      <w:pPr>
        <w:pStyle w:val="BodyText"/>
      </w:pPr>
      <w:r>
        <w:t xml:space="preserve">Note: HbA1c = glycated hemoglobin; T2DM = type 2 diabetes mellitus; RCT = randomized controlled trial.</w:t>
      </w:r>
    </w:p>
    <w:bookmarkEnd w:id="28"/>
    <w:bookmarkStart w:id="29" w:name="publication-lag-and-emerging-models"/>
    <w:p>
      <w:pPr>
        <w:pStyle w:val="Heading2"/>
      </w:pPr>
      <w:r>
        <w:t xml:space="preserve">Publication Lag and Emerging Models</w:t>
      </w:r>
    </w:p>
    <w:p>
      <w:pPr>
        <w:pStyle w:val="FirstParagraph"/>
      </w:pPr>
      <w:r>
        <w:t xml:space="preserve">Given the rapid pace of model updates, some studies published during 2020–2025 evaluate versions that may evolve quickly. While technical reports, system cards, and community evaluation platforms can provide early signals of general capability changes [42-44], they do not substitute for peer-reviewed, nutrition-specific safety and performance evaluation. Importantly, safety and implementation requirements (e.g., allergen checking, citation integrity, accountability, and monitoring) remain clinically relevant regardless of version and should be assumed unmet until demonstrated under rigorous evaluation.</w:t>
      </w:r>
    </w:p>
    <w:bookmarkEnd w:id="29"/>
    <w:bookmarkEnd w:id="30"/>
    <w:bookmarkStart w:id="31" w:name="discussion"/>
    <w:p>
      <w:pPr>
        <w:pStyle w:val="Heading1"/>
      </w:pPr>
      <w:r>
        <w:t xml:space="preserve">Discussion</w:t>
      </w:r>
    </w:p>
    <w:p>
      <w:pPr>
        <w:pStyle w:val="FirstParagraph"/>
      </w:pPr>
      <w:r>
        <w:t xml:space="preserve">Principal findings: This scoping review synthesized 53 sources (2020–2025) evaluating LLMs and related AI systems in clinical nutrition. Across benchmarks and applied evaluations, performance was strongest in constrained tasks (e.g., standardized examinations and guideline-grounded generation) but degraded substantially in complex multi-morbidity scenarios, and safety failures (hallucinations, fabricated citations, allergen errors) were recurrent.</w:t>
      </w:r>
    </w:p>
    <w:p>
      <w:pPr>
        <w:pStyle w:val="BodyText"/>
      </w:pPr>
      <w:r>
        <w:t xml:space="preserve">Clinical and practical implications: Current evidence supports LLM deployment as supervised decision support rather than autonomous care. In the longest nutrition-focused RCT identified (48 weeks), combining an AI platform with professional oversight improved outcomes versus AI alone [34].</w:t>
      </w:r>
    </w:p>
    <w:p>
      <w:pPr>
        <w:pStyle w:val="BodyText"/>
      </w:pPr>
      <w:r>
        <w:t xml:space="preserve">For dietitians, LLMs may support information synthesis, guideline retrieval, and documentation; however, professional judgment remains essential for complex cases, individualized diet therapy, and safety-critical decisions.</w:t>
      </w:r>
    </w:p>
    <w:p>
      <w:pPr>
        <w:pStyle w:val="BodyText"/>
      </w:pPr>
      <w:r>
        <w:t xml:space="preserve">Direct-to-consumer AI nutrition tools warrant caution given documented safety failures (e.g., allergen errors, contradictory advice, and fabricated citations), particularly for patients with complex comorbidities or dietary restrictions.</w:t>
      </w:r>
    </w:p>
    <w:p>
      <w:pPr>
        <w:pStyle w:val="BodyText"/>
      </w:pPr>
      <w:r>
        <w:t xml:space="preserve">Regulatory, ethical, and equity considerations: AI systems generating personalized nutrition recommendations or clinical decision support may fall under medical software frameworks (e.g., FDA SaMD) and require validation, documentation, and ongoing monitoring [45]. Across included sources, key concerns include privacy of sensitive dietary/health data, unclear accountability when errors occur, and limited evaluation across languages and cultural dietary patterns. Practical safeguards and ethical considerations are summarized in Supplementary Table S4.</w:t>
      </w:r>
    </w:p>
    <w:p>
      <w:pPr>
        <w:pStyle w:val="BodyText"/>
      </w:pPr>
      <w:r>
        <w:t xml:space="preserve">Future research priorities</w:t>
      </w:r>
    </w:p>
    <w:p>
      <w:pPr>
        <w:pStyle w:val="BodyText"/>
      </w:pPr>
      <w:r>
        <w:t xml:space="preserve">Nutrition-specific benchmarks: Public, reproducible datasets covering macronutrient calculations, guideline adherence, multi-comorbidity reasoning, cultural appropriateness, and allergen safety are needed to enable rapid, comparable evaluation [46].</w:t>
      </w:r>
    </w:p>
    <w:p>
      <w:pPr>
        <w:pStyle w:val="BodyText"/>
      </w:pPr>
      <w:r>
        <w:t xml:space="preserve">Clinical outcomes and safety: Long-term evidence remains limited. Trials ≥12 months with predefined safety endpoints and cost-effectiveness analyses are needed. One large RCT in the Diabetes Prevention Program found an AI-powered lifestyle intervention was non-inferior to human coaching over 12 months [47], but replication and nutrition-specific safety evaluation are required.</w:t>
      </w:r>
    </w:p>
    <w:p>
      <w:pPr>
        <w:pStyle w:val="BodyText"/>
      </w:pPr>
      <w:r>
        <w:t xml:space="preserve">Technical priorities include nutrition-specialized models grounded in authoritative guidelines (e.g., RAG), standardized safety stress testing, and transparent reporting of model version, prompts, and evaluation datasets.</w:t>
      </w:r>
    </w:p>
    <w:p>
      <w:pPr>
        <w:pStyle w:val="BodyText"/>
      </w:pPr>
      <w:r>
        <w:t xml:space="preserve">Policy and practice implications</w:t>
      </w:r>
    </w:p>
    <w:p>
      <w:pPr>
        <w:pStyle w:val="BodyText"/>
      </w:pPr>
      <w:r>
        <w:t xml:space="preserve">Before clinical deployment, institutions should implement staged rollouts, require documentation of AI involvement, and maintain audit trails and incident reporting. Privacy-preserving architectures and clear accountability pathways should be established locally, as reimbursement and liability frameworks are still evolving.</w:t>
      </w:r>
    </w:p>
    <w:bookmarkEnd w:id="31"/>
    <w:bookmarkStart w:id="37" w:name="limitations"/>
    <w:p>
      <w:pPr>
        <w:pStyle w:val="Heading1"/>
      </w:pPr>
      <w:r>
        <w:t xml:space="preserve">Limitations</w:t>
      </w:r>
    </w:p>
    <w:bookmarkStart w:id="32" w:name="Xfd055d1c7400ba4096c374f5b0974c81739287f"/>
    <w:p>
      <w:pPr>
        <w:pStyle w:val="Heading2"/>
      </w:pPr>
      <w:r>
        <w:t xml:space="preserve">Rapidly Evolving Technology and Model Generations</w:t>
      </w:r>
    </w:p>
    <w:p>
      <w:pPr>
        <w:pStyle w:val="FirstParagraph"/>
      </w:pPr>
      <w:r>
        <w:t xml:space="preserve">This review reflects evidence available up to September 30, 2025. Model capabilities and deployment patterns evolve rapidly, and newer versions may differ from those evaluated in included sources. Findings should therefore be interpreted in the context of the specific model versions and prompting configurations reported in the included sources.</w:t>
      </w:r>
    </w:p>
    <w:bookmarkEnd w:id="32"/>
    <w:bookmarkStart w:id="33" w:name="X4c973c183166a2a536451acdafd5c1266f46e5b"/>
    <w:p>
      <w:pPr>
        <w:pStyle w:val="Heading2"/>
      </w:pPr>
      <w:r>
        <w:t xml:space="preserve">Absence of Standardized Nutrition Benchmarks</w:t>
      </w:r>
    </w:p>
    <w:p>
      <w:pPr>
        <w:pStyle w:val="FirstParagraph"/>
      </w:pPr>
      <w:r>
        <w:t xml:space="preserve">Clinical nutrition lacks publicly accessible benchmark datasets analogous to AIME (mathematics), SWE-Bench (coding), or GPQA (scientific reasoning) [46]. Current studies use regional licensing exams without public test sets, limiting reproducibility. This prevents rigorous cross-model comparisons and enables potential training data contamination. Development of public nutrition benchmarks covering macronutrient calculation, clinical reasoning, guideline adherence, and cultural appropriateness represents critical infrastructure needed for systematic model evaluation.</w:t>
      </w:r>
    </w:p>
    <w:bookmarkEnd w:id="33"/>
    <w:bookmarkStart w:id="34" w:name="publication-lag-in-fast-moving-field"/>
    <w:p>
      <w:pPr>
        <w:pStyle w:val="Heading2"/>
      </w:pPr>
      <w:r>
        <w:t xml:space="preserve">Publication Lag in Fast-Moving Field</w:t>
      </w:r>
    </w:p>
    <w:p>
      <w:pPr>
        <w:pStyle w:val="FirstParagraph"/>
      </w:pPr>
      <w:r>
        <w:t xml:space="preserve">Peer-review publication cycles create unavoidable lag between model release and published evaluation. Rather than treating this as making the evidence obsolete, we emphasize safety and governance requirements that remain clinically relevant regardless of model version. Until nutrition-specific performance and safety are demonstrated under rigorous evaluation, new versions should be assumed to have unresolved failure modes and should not be deployed autonomously.</w:t>
      </w:r>
    </w:p>
    <w:bookmarkEnd w:id="34"/>
    <w:bookmarkStart w:id="35" w:name="geographic-linguistic-and-cultural-bias"/>
    <w:p>
      <w:pPr>
        <w:pStyle w:val="Heading2"/>
      </w:pPr>
      <w:r>
        <w:t xml:space="preserve">Geographic, Linguistic, and Cultural Bias</w:t>
      </w:r>
    </w:p>
    <w:p>
      <w:pPr>
        <w:pStyle w:val="FirstParagraph"/>
      </w:pPr>
      <w:r>
        <w:t xml:space="preserve">Studies were concentrated in Europe (n=17), North America (n=14), and Asia (n=11), with additional multinational sources (n=8) and limited representation from other regions. No included sources originated from Africa or South America, and evaluations in languages other than English were uncommon. Cultural appropriateness, religious dietary restrictions, and non-Western cuisine accuracy remain inadequately evaluated, potentially exacerbating disparities without culturally appropriate validation.</w:t>
      </w:r>
    </w:p>
    <w:bookmarkEnd w:id="35"/>
    <w:bookmarkStart w:id="36" w:name="X52dbb2a2c810cd99273e4384653a47697501b46"/>
    <w:p>
      <w:pPr>
        <w:pStyle w:val="Heading2"/>
      </w:pPr>
      <w:r>
        <w:t xml:space="preserve">Heterogeneous Methodologies Precluding Meta-Analysis</w:t>
      </w:r>
    </w:p>
    <w:p>
      <w:pPr>
        <w:pStyle w:val="FirstParagraph"/>
      </w:pPr>
      <w:r>
        <w:t xml:space="preserve">Wide variability in study designs, outcome measures, and prompting strategies prevented quantitative meta-analysis. This reflects the field’s emerging status but limits definitive conclusions. Standardized evaluation protocols and benchmark datasets are needed.</w:t>
      </w:r>
    </w:p>
    <w:bookmarkEnd w:id="36"/>
    <w:bookmarkEnd w:id="37"/>
    <w:bookmarkStart w:id="38" w:name="conclusions"/>
    <w:p>
      <w:pPr>
        <w:pStyle w:val="Heading1"/>
      </w:pPr>
      <w:r>
        <w:t xml:space="preserve">Conclusions</w:t>
      </w:r>
    </w:p>
    <w:p>
      <w:pPr>
        <w:pStyle w:val="FirstParagraph"/>
      </w:pPr>
      <w:r>
        <w:t xml:space="preserve">Across 53 sources, LLMs and related AI systems demonstrated strong performance in constrained tasks (e.g., standardized examinations and guideline-grounded generation), but clinically important weaknesses emerged in complex, high-risk contexts. Accuracy often fell below 50% in multi-comorbidity scenarios, and dietary assessment systems showed systematic underestimation patterns that could be harmful when precise energy/protein targets are required.</w:t>
      </w:r>
    </w:p>
    <w:p>
      <w:pPr>
        <w:pStyle w:val="BodyText"/>
      </w:pPr>
      <w:r>
        <w:t xml:space="preserve">Safety vulnerabilities are endemic: fabricated citations, allergen errors, and prompt-sensitive outputs were repeatedly documented, and adversarial testing reported high hallucination rates. These findings support a conservative clinical posture: autonomous deployment for medical nutrition therapy is currently premature.</w:t>
      </w:r>
    </w:p>
    <w:p>
      <w:pPr>
        <w:pStyle w:val="BodyText"/>
      </w:pPr>
      <w:r>
        <w:t xml:space="preserve">If implemented, LLMs should be limited to supervised decision support and low-risk tasks, with safeguards proportionate to clinical risk: guideline-grounded architectures (e.g., retrieval-augmented or hybrid systems), local validation against relevant patient populations and workflows, documentation of AI involvement, audit trails, and predefined triggers for escalation or deactivation.</w:t>
      </w:r>
    </w:p>
    <w:p>
      <w:pPr>
        <w:pStyle w:val="BodyText"/>
      </w:pPr>
      <w:r>
        <w:t xml:space="preserve">To move from feasibility to clinical adoption, the field needs nutrition-specific public benchmarks and long-term trials (beyond the current longest nutrition-focused follow-up of 48 weeks [34]) designed around non-inferiority/superiority in hard outcomes (e.g., HbA1c, weight, hospitalization) with systematic adverse-event reporting and equity-focused evaluation across languages and cultural dietary patterns.</w:t>
      </w:r>
    </w:p>
    <w:bookmarkEnd w:id="38"/>
    <w:bookmarkStart w:id="39" w:name="author-contributions"/>
    <w:p>
      <w:pPr>
        <w:pStyle w:val="Heading1"/>
      </w:pPr>
      <w:r>
        <w:t xml:space="preserve">AUTHOR CONTRIBUTIONS</w:t>
      </w:r>
    </w:p>
    <w:p>
      <w:pPr>
        <w:pStyle w:val="FirstParagraph"/>
      </w:pPr>
      <w:r>
        <w:t xml:space="preserve">E.W.M.A. conceived the study and led the writing. V.R.M. and R.D.M. conducted the literature screening and selection of sources. E.W.M.A., V.R.M., and R.D.M. performed data extraction. F.B.B. and D.T.C. supervised the project and provided critical revision for important intellectual content. All authors reviewed and approved the final manuscript.</w:t>
      </w:r>
    </w:p>
    <w:bookmarkEnd w:id="39"/>
    <w:bookmarkStart w:id="40" w:name="competing-interests"/>
    <w:p>
      <w:pPr>
        <w:pStyle w:val="Heading1"/>
      </w:pPr>
      <w:r>
        <w:t xml:space="preserve">COMPETING INTERESTS</w:t>
      </w:r>
    </w:p>
    <w:p>
      <w:pPr>
        <w:pStyle w:val="FirstParagraph"/>
      </w:pPr>
      <w:r>
        <w:t xml:space="preserve">The authors report no competing interests to declare.</w:t>
      </w:r>
    </w:p>
    <w:bookmarkEnd w:id="40"/>
    <w:bookmarkStart w:id="41" w:name="funding"/>
    <w:p>
      <w:pPr>
        <w:pStyle w:val="Heading1"/>
      </w:pPr>
      <w:r>
        <w:t xml:space="preserve">FUNDING</w:t>
      </w:r>
    </w:p>
    <w:p>
      <w:pPr>
        <w:pStyle w:val="FirstParagraph"/>
      </w:pPr>
      <w:r>
        <w:t xml:space="preserve">This study was financed, in part, by the Sao Paulo Research Foundation (FAPESP), Brasil. Process Number #2025/06258-7. This study was partially funded by CAPES (Coordenacao de Aperfeicoamento de Pessoal de Nivel Superior), Finance Code 001. D.T.C. and F.B.B. thank CNPq (Conselho Nacional de Desenvolvimento Cientifico e Tecnologico). D.T.C. is supported by a CNPq productivity grant #304542/2024-5.</w:t>
      </w:r>
    </w:p>
    <w:bookmarkEnd w:id="41"/>
    <w:bookmarkStart w:id="42" w:name="technology-use-statement"/>
    <w:p>
      <w:pPr>
        <w:pStyle w:val="Heading1"/>
      </w:pPr>
      <w:r>
        <w:t xml:space="preserve">TECHNOLOGY USE STATEMENT</w:t>
      </w:r>
    </w:p>
    <w:p>
      <w:pPr>
        <w:pStyle w:val="FirstParagraph"/>
      </w:pPr>
      <w:r>
        <w:t xml:space="preserve">During manuscript preparation, the authors used AI-assisted language tools to refine Boolean search strings, improve readability/grammar, and support reference formatting checks. All outputs were reviewed and validated by the authors, who take full responsibility for the content. No AI tools were used for screening, data extraction, analysis, result interpretation, or formulation of conclusions.</w:t>
      </w:r>
    </w:p>
    <w:bookmarkEnd w:id="42"/>
    <w:bookmarkStart w:id="43" w:name="data-availability-statement"/>
    <w:p>
      <w:pPr>
        <w:pStyle w:val="Heading1"/>
      </w:pPr>
      <w:r>
        <w:t xml:space="preserve">DATA AVAILABILITY STATEMENT</w:t>
      </w:r>
    </w:p>
    <w:p>
      <w:pPr>
        <w:pStyle w:val="FirstParagraph"/>
      </w:pPr>
      <w:r>
        <w:t xml:space="preserve">All data extracted for this scoping review are derived from publicly available published sources listed in the References section and Supplementary Table S1. The complete list of 53 included sources with extraction data is provided as Supplementary Table S1. The PRISMA-ScR checklist is available as Supplementary File S2. The review protocol was not prospectively registered. Scoping review methodology prioritizes iterative refinement of research questions, and prospective registration is not uniformly required for scoping reviews as it is for systematic reviews of interventions. To enhance transparency, our detailed search strategy and selection criteria are fully documented in the Methods section. Additional details are available from the corresponding author upon reasonable request.</w:t>
      </w:r>
    </w:p>
    <w:bookmarkEnd w:id="43"/>
    <w:bookmarkStart w:id="44" w:name="references"/>
    <w:p>
      <w:pPr>
        <w:pStyle w:val="Heading1"/>
      </w:pPr>
      <w:r>
        <w:t xml:space="preserve">REFERENCES</w:t>
      </w:r>
    </w:p>
    <w:p>
      <w:pPr>
        <w:numPr>
          <w:ilvl w:val="0"/>
          <w:numId w:val="1006"/>
        </w:numPr>
      </w:pPr>
      <w:r>
        <w:t xml:space="preserve">Ji, Z., Lee, N., Bang, J., Madotto, A., &amp; Fung, P. (2023). A Survey on Hallucination in Large Language Models: Principles, Taxonomy, Challenges, and Open Questions. ACM Computing Surveys, 56(1). https://doi.org/10.1145/3639535</w:t>
      </w:r>
    </w:p>
    <w:p>
      <w:pPr>
        <w:numPr>
          <w:ilvl w:val="0"/>
          <w:numId w:val="1006"/>
        </w:numPr>
      </w:pPr>
      <w:r>
        <w:t xml:space="preserve">International Confederation of Dietetic Associations. (2021).</w:t>
      </w:r>
      <w:r>
        <w:t xml:space="preserve"> </w:t>
      </w:r>
      <w:r>
        <w:rPr>
          <w:i/>
          <w:iCs/>
        </w:rPr>
        <w:t xml:space="preserve">Dietitian-nutritionists around the world: Education and work report 2021</w:t>
      </w:r>
      <w:r>
        <w:t xml:space="preserve">. Retrieved from https://internationaldietetics.org/wp-content/uploads/2023/11/Education-and-Work-Report-2021.pdf</w:t>
      </w:r>
    </w:p>
    <w:p>
      <w:pPr>
        <w:numPr>
          <w:ilvl w:val="0"/>
          <w:numId w:val="1006"/>
        </w:numPr>
      </w:pPr>
      <w:r>
        <w:t xml:space="preserve">Tricco, A. C., Lillie, E., Zarin, W., O'Brien, K. K., Colquhoun, H., Levac, D., et al. (2018). PRISMA Extension for Scoping Reviews (PRISMA-ScR): Checklist and Explanation. Annals of Internal Medicine, 169(7), 467-473. https://doi.org/10.7326/m18-0850</w:t>
      </w:r>
    </w:p>
    <w:p>
      <w:pPr>
        <w:numPr>
          <w:ilvl w:val="0"/>
          <w:numId w:val="1006"/>
        </w:numPr>
      </w:pPr>
      <w:r>
        <w:t xml:space="preserve">Belkhouribchia, J. &amp; Pen, J. J. (2025). Large language models in clinical nutrition: an overview of its applications, capabilities, limitations, and potential future prospects. Frontiers in Nutrition, 12, Article 1635682. https://doi.org/10.3389/fnut.2025.1635682</w:t>
      </w:r>
    </w:p>
    <w:p>
      <w:pPr>
        <w:numPr>
          <w:ilvl w:val="0"/>
          <w:numId w:val="1006"/>
        </w:numPr>
      </w:pPr>
      <w:r>
        <w:t xml:space="preserve">Papastratis, I., Konstantinidis, D., Daras, P., &amp; Dimitropoulos, K. (2024). AI nutrition recommendation using a deep generative model and ChatGPT. Scientific Reports, 14(1), Article 14620. https://doi.org/10.1038/s41598-024-65438-x</w:t>
      </w:r>
    </w:p>
    <w:p>
      <w:pPr>
        <w:numPr>
          <w:ilvl w:val="0"/>
          <w:numId w:val="1006"/>
        </w:numPr>
      </w:pPr>
      <w:r>
        <w:t xml:space="preserve">Kirk, D., van Eijnatten, E., &amp; Camps, G. (2023). Comparison of Answers between ChatGPT and Human Dieticians to Common Nutrition Questions. Journal of Nutrition and Metabolism, 2023, 1-9. https://doi.org/10.1155/2023/5548684</w:t>
      </w:r>
    </w:p>
    <w:p>
      <w:pPr>
        <w:numPr>
          <w:ilvl w:val="0"/>
          <w:numId w:val="1006"/>
        </w:numPr>
      </w:pPr>
      <w:r>
        <w:t xml:space="preserve">Chotwanvirat, P., Prachansuwan, A., Sridonpai, P., &amp; Kriengsinyos, W. (2024). Advancements in Using AI for Dietary Assessment Based on Food Images: Scoping Review. Journal of Medical Internet Research, 26, e51432. https://doi.org/10.2196/51432</w:t>
      </w:r>
    </w:p>
    <w:p>
      <w:pPr>
        <w:numPr>
          <w:ilvl w:val="0"/>
          <w:numId w:val="1006"/>
        </w:numPr>
      </w:pPr>
      <w:r>
        <w:t xml:space="preserve">Azimi, I., Qi, M., Wang, L., Rahmani, A. M., &amp; Li, Y. (2025). Evaluation of LLMs accuracy and consistency in the registered dietitian exam through prompt engineering and knowledge retrieval. Scientific Reports, 15(1), Article 1506. https://doi.org/10.1038/s41598-024-85003-w</w:t>
      </w:r>
    </w:p>
    <w:p>
      <w:pPr>
        <w:numPr>
          <w:ilvl w:val="0"/>
          <w:numId w:val="1006"/>
        </w:numPr>
      </w:pPr>
      <w:r>
        <w:t xml:space="preserve">Solomon, T. P. J. &amp; Laye, M. J. (2025). The sports nutrition knowledge of large language model (LLM) artificial intelligence (AI) chatbots: An assessment of accuracy, completeness, clarity, quality of evidence, and test-retest reliability. PLOS One, 20(6), e0325982. https://doi.org/10.1371/journal.pone.0325982</w:t>
      </w:r>
    </w:p>
    <w:p>
      <w:pPr>
        <w:numPr>
          <w:ilvl w:val="0"/>
          <w:numId w:val="1006"/>
        </w:numPr>
      </w:pPr>
      <w:r>
        <w:t xml:space="preserve">Sun, H., Zhang, K., Lan, W., Gu, Q., Jiang, G., Yang, X., et al. (2023). An AI Dietitian for Type 2 Diabetes Mellitus Management Based on Large Language and Image Recognition Models: Preclinical Concept Validation Study. Journal of Medical Internet Research, 25, e51300. https://doi.org/10.2196/51300</w:t>
      </w:r>
    </w:p>
    <w:p>
      <w:pPr>
        <w:numPr>
          <w:ilvl w:val="0"/>
          <w:numId w:val="1006"/>
        </w:numPr>
      </w:pPr>
      <w:r>
        <w:t xml:space="preserve">Ponzo, V., Rosato, R., Scigliano, M. C., Onida, M., Cossai, S., De Vecchi, M., et al. (2024). Comparison of the Accuracy, Completeness, Reproducibility, and Consistency of Different AI Chatbots in Providing Nutritional Advice: An Exploratory Study. Journal of Clinical Medicine, 13(24), 7810. https://doi.org/10.3390/jcm13247810</w:t>
      </w:r>
    </w:p>
    <w:p>
      <w:pPr>
        <w:numPr>
          <w:ilvl w:val="0"/>
          <w:numId w:val="1006"/>
        </w:numPr>
      </w:pPr>
      <w:r>
        <w:t xml:space="preserve">Haman, M., Školník, M., &amp; Lošťák, M. (2024). AI dietician: Unveiling the accuracy of ChatGPT's nutritional estimations. Nutrition, 119, 112325. https://doi.org/10.1016/j.nut.2023.112325</w:t>
      </w:r>
    </w:p>
    <w:p>
      <w:pPr>
        <w:numPr>
          <w:ilvl w:val="0"/>
          <w:numId w:val="1006"/>
        </w:numPr>
      </w:pPr>
      <w:r>
        <w:t xml:space="preserve">Niszczota, P. &amp; Rybicka, I. (2023). The credibility of dietary advice formulated by ChatGPT: Robo-diets for people with food allergies. Nutrition, 112, 112076. https://doi.org/10.1016/j.nut.2023.112076</w:t>
      </w:r>
    </w:p>
    <w:p>
      <w:pPr>
        <w:numPr>
          <w:ilvl w:val="0"/>
          <w:numId w:val="1006"/>
        </w:numPr>
      </w:pPr>
      <w:r>
        <w:t xml:space="preserve">Zhou, P., Min, W., Fu, C., Jin, Y., Huang, M., Li, X., et al. (2025). FoodSky: A food-oriented large language model that can pass the chef and dietetic examinations. Patterns, 6(5), 101234. https://doi.org/10.1016/j.patter.2025.101234</w:t>
      </w:r>
    </w:p>
    <w:p>
      <w:pPr>
        <w:numPr>
          <w:ilvl w:val="0"/>
          <w:numId w:val="1006"/>
        </w:numPr>
      </w:pPr>
      <w:r>
        <w:t xml:space="preserve">Commission on Dietetic Registration. (2024).</w:t>
      </w:r>
      <w:r>
        <w:t xml:space="preserve"> </w:t>
      </w:r>
      <w:r>
        <w:rPr>
          <w:i/>
          <w:iCs/>
        </w:rPr>
        <w:t xml:space="preserve">Registered Dietitian Nutritionist Credentialing Exam statistics and reports</w:t>
      </w:r>
      <w:r>
        <w:t xml:space="preserve">. Retrieved from https://www.cdrnet.org/RDExamStats</w:t>
      </w:r>
    </w:p>
    <w:p>
      <w:pPr>
        <w:numPr>
          <w:ilvl w:val="0"/>
          <w:numId w:val="1006"/>
        </w:numPr>
      </w:pPr>
      <w:r>
        <w:t xml:space="preserve">Gavai, A. K. &amp; van Hillegersberg, J. (2025). AI-driven personalized nutrition: RAG-based digital health solution for obesity and type 2 diabetes. PLOS Digital Health, 4(5), e0000758. https://doi.org/10.1371/journal.pdig.0000758</w:t>
      </w:r>
    </w:p>
    <w:p>
      <w:pPr>
        <w:numPr>
          <w:ilvl w:val="0"/>
          <w:numId w:val="1006"/>
        </w:numPr>
      </w:pPr>
      <w:r>
        <w:t xml:space="preserve">Hou, Y., Bishop, J. R., Liu, H., &amp; Zhang, R. (2025). Improving Dietary Supplement Information Retrieval: Development of a Retrieval-Augmented Generation System With Large Language Models. Journal of Medical Internet Research, 27, e67677. https://doi.org/10.2196/67677</w:t>
      </w:r>
    </w:p>
    <w:p>
      <w:pPr>
        <w:numPr>
          <w:ilvl w:val="0"/>
          <w:numId w:val="1006"/>
        </w:numPr>
      </w:pPr>
      <w:r>
        <w:t xml:space="preserve">Bernstein, A. M., Janeke, P., Riggs, R. V., Burke, E., Meyer, J., Moyer, M. F., et al. (2025). Artificial Intelligence-Based Hospital Malnutrition Screening: Validation of a Novel Machine Learning Model. Applied Clinical Informatics, 16(05), 1646-1657. https://doi.org/10.1055/a-2635-3158</w:t>
      </w:r>
    </w:p>
    <w:p>
      <w:pPr>
        <w:numPr>
          <w:ilvl w:val="0"/>
          <w:numId w:val="1006"/>
        </w:numPr>
      </w:pPr>
      <w:r>
        <w:t xml:space="preserve">O’Hara, C., Kent, G., Flynn, A. C., Gibney, E. R., &amp; Timon, C. M. (2025). An Evaluation of ChatGPT for Nutrient Content Estimation from Meal Photographs. Nutrients, 17(4), 607. https://doi.org/10.3390/nu17040607</w:t>
      </w:r>
    </w:p>
    <w:p>
      <w:pPr>
        <w:numPr>
          <w:ilvl w:val="0"/>
          <w:numId w:val="1006"/>
        </w:numPr>
      </w:pPr>
      <w:r>
        <w:t xml:space="preserve">Mount Sinai Health System. (2024). NutriScan AI: Machine learning application for malnutrition screening [Press release]. Retrieved from https://www.mountsinai.org/about/newsroom/2025/ai-system-finds-crucial-clues-for-diagnoses-in-electronic-health-records</w:t>
      </w:r>
    </w:p>
    <w:p>
      <w:pPr>
        <w:numPr>
          <w:ilvl w:val="0"/>
          <w:numId w:val="1006"/>
        </w:numPr>
      </w:pPr>
      <w:r>
        <w:t xml:space="preserve">Kaya Kaçar, H., Kaçar, Ö. F., &amp; Avery, A. (2025). Diet Quality and Caloric Accuracy in AI-Generated Diet Plans: A Comparative Study Across Chatbots. Nutrients, 17(2), 206. https://doi.org/10.3390/nu17020206</w:t>
      </w:r>
    </w:p>
    <w:p>
      <w:pPr>
        <w:numPr>
          <w:ilvl w:val="0"/>
          <w:numId w:val="1006"/>
        </w:numPr>
      </w:pPr>
      <w:r>
        <w:t xml:space="preserve">Liao, L. L., Chang, L. C., &amp; Lai, I. J. (2024). Assessing the Quality of ChatGPT’s Dietary Advice for College Students from Dietitians’ Perspectives. Nutrients, 16(12), 1939. https://doi.org/10.3390/nu16121939</w:t>
      </w:r>
    </w:p>
    <w:p>
      <w:pPr>
        <w:numPr>
          <w:ilvl w:val="0"/>
          <w:numId w:val="1006"/>
        </w:numPr>
      </w:pPr>
      <w:r>
        <w:t xml:space="preserve">Kim, D. W., Park, J. S., Sharma, K., Velazquez, A., Li, L., Ostrominski, J. W., et al. (2024). Qualitative evaluation of artificial intelligence-generated weight management diet plans. Frontiers in Nutrition, 11, Article 1374834. https://doi.org/10.3389/fnut.2024.1374834</w:t>
      </w:r>
    </w:p>
    <w:p>
      <w:pPr>
        <w:numPr>
          <w:ilvl w:val="0"/>
          <w:numId w:val="1006"/>
        </w:numPr>
      </w:pPr>
      <w:r>
        <w:t xml:space="preserve">Lo, F. P. W., Qiu, J., Wang, Z., Chen, J., Xiao, B., Yuan, W., et al. (2024). Dietary Assessment With Multimodal ChatGPT: A Systematic Analysis. IEEE Journal of Biomedical and Health Informatics, 28(12), 7577-7587. https://doi.org/10.1109/jbhi.2024.3417280</w:t>
      </w:r>
    </w:p>
    <w:p>
      <w:pPr>
        <w:numPr>
          <w:ilvl w:val="0"/>
          <w:numId w:val="1006"/>
        </w:numPr>
      </w:pPr>
      <w:r>
        <w:t xml:space="preserve">Chatelan, A., Clerc, A., &amp; Fonta, P. A. (2023). ChatGPT and Future Artificial Intelligence Chatbots: What may be the Influence on Credentialed Nutrition and Dietetics Practitioners?. Journal of the Academy of Nutrition and Dietetics, 123(11), 1525-1531. https://doi.org/10.1016/j.jand.2023.08.001</w:t>
      </w:r>
    </w:p>
    <w:p>
      <w:pPr>
        <w:numPr>
          <w:ilvl w:val="0"/>
          <w:numId w:val="1006"/>
        </w:numPr>
      </w:pPr>
      <w:r>
        <w:t xml:space="preserve">Panayotova, G. G. (2025). Artificial Intelligence in Nutrition and Dietetics: A Comprehensive Review of Current Research. Healthcare, 13(20), 2579. https://doi.org/10.3390/healthcare13202579</w:t>
      </w:r>
    </w:p>
    <w:p>
      <w:pPr>
        <w:numPr>
          <w:ilvl w:val="0"/>
          <w:numId w:val="1006"/>
        </w:numPr>
      </w:pPr>
      <w:r>
        <w:t xml:space="preserve">Bayram, H. M. &amp; Ozturkcan, A. (2025). Applications of generative and predictive AI in nutrition and dietetics: a narrative review. Informatics for Health and Social Care, 50(3-4), 133-156. https://doi.org/10.1080/17538157.2025.2560834</w:t>
      </w:r>
    </w:p>
    <w:p>
      <w:pPr>
        <w:numPr>
          <w:ilvl w:val="0"/>
          <w:numId w:val="1006"/>
        </w:numPr>
      </w:pPr>
      <w:r>
        <w:t xml:space="preserve">Li, X., Yin, A., Choi, H. Y., Chan, V., Allman-Farinelli, M., &amp; Chen, J. (2024). Evaluating the Quality and Comparative Validity of Manual Food Logging and Artificial Intelligence-Enabled Food Image Recognition in Apps for Nutrition Care. Nutrients, 16(15), 2573. https://doi.org/10.3390/nu16152573</w:t>
      </w:r>
    </w:p>
    <w:p>
      <w:pPr>
        <w:numPr>
          <w:ilvl w:val="0"/>
          <w:numId w:val="1006"/>
        </w:numPr>
      </w:pPr>
      <w:r>
        <w:t xml:space="preserve">Omar, M., Sorin, V., Collins, J. D., Reich, D., Freeman, R., Gavin, N., et al. (2025). Multi-model assurance analysis showing large language models are highly vulnerable to adversarial hallucination attacks during clinical decision support. Communications Medicine, 5(1), Article 330. https://doi.org/10.1038/s43856-025-01021-3</w:t>
      </w:r>
    </w:p>
    <w:p>
      <w:pPr>
        <w:numPr>
          <w:ilvl w:val="0"/>
          <w:numId w:val="1006"/>
        </w:numPr>
      </w:pPr>
      <w:r>
        <w:t xml:space="preserve">Toklu Baloğlu, H. (2025). Effect of ChatGPT use on eating disorders and body image. World Journal of Psychiatry, 15(8). https://doi.org/10.5498/wjp.v15.i8.107122</w:t>
      </w:r>
    </w:p>
    <w:p>
      <w:pPr>
        <w:numPr>
          <w:ilvl w:val="0"/>
          <w:numId w:val="1006"/>
        </w:numPr>
      </w:pPr>
      <w:r>
        <w:t xml:space="preserve">Seid, A., Fufa, D. D., &amp; Bitew, Z. W. (2024). The use of internet-based smartphone apps consistently improved consumers' healthy eating behaviors: a systematic review of randomized controlled trials. Frontiers in Digital Health, 6, Article 1282570. https://doi.org/10.3389/fdgth.2024.1282570</w:t>
      </w:r>
    </w:p>
    <w:p>
      <w:pPr>
        <w:numPr>
          <w:ilvl w:val="0"/>
          <w:numId w:val="1006"/>
        </w:numPr>
      </w:pPr>
      <w:r>
        <w:t xml:space="preserve">Koios, K. S., Segal, E., &amp; Ben-Yacov, O. Effects of a personalized nutrition program on cardiometabolic health: A randomized controlled trial.</w:t>
      </w:r>
      <w:r>
        <w:t xml:space="preserve"> </w:t>
      </w:r>
      <w:r>
        <w:rPr>
          <w:i/>
          <w:iCs/>
        </w:rPr>
        <w:t xml:space="preserve">Nat. Med.</w:t>
      </w:r>
      <w:r>
        <w:t xml:space="preserve"> </w:t>
      </w:r>
      <w:r>
        <w:rPr>
          <w:b/>
          <w:bCs/>
        </w:rPr>
        <w:t xml:space="preserve">31</w:t>
      </w:r>
      <w:r>
        <w:t xml:space="preserve">, 958-967 (2025).</w:t>
      </w:r>
    </w:p>
    <w:p>
      <w:pPr>
        <w:numPr>
          <w:ilvl w:val="0"/>
          <w:numId w:val="1006"/>
        </w:numPr>
      </w:pPr>
      <w:r>
        <w:t xml:space="preserve">Wang, X., Sun, Z., Xue, H., &amp; An, R. (2025). Artificial Intelligence Applications to Personalized Dietary Recommendations: A Systematic Review. Healthcare, 13(12), 1417. https://doi.org/10.3390/healthcare13121417</w:t>
      </w:r>
    </w:p>
    <w:p>
      <w:pPr>
        <w:numPr>
          <w:ilvl w:val="0"/>
          <w:numId w:val="1006"/>
        </w:numPr>
      </w:pPr>
      <w:r>
        <w:t xml:space="preserve">Lee, Y. B., Kim, G., Jun, J. E., Park, H., Lee, W. J., Hwang, Y. C., et al. (2023). An Integrated Digital Health Care Platform for Diabetes Management With AI-Based Dietary Management: 48-Week Results From a Randomized Controlled Trial. Diabetes Care, 46(5), 959-966. https://doi.org/10.2337/dc22-1929</w:t>
      </w:r>
    </w:p>
    <w:p>
      <w:pPr>
        <w:numPr>
          <w:ilvl w:val="0"/>
          <w:numId w:val="1006"/>
        </w:numPr>
      </w:pPr>
      <w:r>
        <w:t xml:space="preserve">Shamanna, P., Erukulapati, R. S., Shukla, A., Shah, L., Willis, B., Thajudeen, M., et al. (2024). One-year outcomes of a digital twin intervention for type 2 diabetes: a retrospective real-world study. Scientific Reports, 14(1), Article 25478. https://doi.org/10.1038/s41598-024-76584-7</w:t>
      </w:r>
    </w:p>
    <w:p>
      <w:pPr>
        <w:numPr>
          <w:ilvl w:val="0"/>
          <w:numId w:val="1006"/>
        </w:numPr>
      </w:pPr>
      <w:r>
        <w:t xml:space="preserve">Lacruz-Pleguezuelos, B., Bazán, G. X., Romero-Tapiador, S., Freixer, G., Tolosana, R., Daza, R., et al. (2025). AI4Food, a feasibility study for the implementation of automated devices in the nutritional advice and follow up within a weight loss intervention. Clinical Nutrition, 48, 80-89. https://doi.org/10.1016/j.clnu.2025.03.003</w:t>
      </w:r>
    </w:p>
    <w:p>
      <w:pPr>
        <w:numPr>
          <w:ilvl w:val="0"/>
          <w:numId w:val="1006"/>
        </w:numPr>
      </w:pPr>
      <w:r>
        <w:t xml:space="preserve">Veluvali, A., Dehghani Zahedani, A., Hosseinian, A., Aghaeepour, N., McLaughlin, T., Woodward, M., et al. (2025). Impact of digital health interventions on glycemic control and weight management. npj Digital Medicine, 8(1), Article 20. https://doi.org/10.1038/s41746-025-01430-7</w:t>
      </w:r>
    </w:p>
    <w:p>
      <w:pPr>
        <w:numPr>
          <w:ilvl w:val="0"/>
          <w:numId w:val="1006"/>
        </w:numPr>
      </w:pPr>
      <w:r>
        <w:t xml:space="preserve">Sguanci, M., Palomares, S. M., Cangelosi, G., Petrelli, F., Sandri, E., Ferrara, G., et al. (2025). Artificial Intelligence in the Management of Malnutrition in Cancer Patients: A Systematic Review. Advances in Nutrition, 16(7), 100438. https://doi.org/10.1016/j.advnut.2025.100438</w:t>
      </w:r>
    </w:p>
    <w:p>
      <w:pPr>
        <w:numPr>
          <w:ilvl w:val="0"/>
          <w:numId w:val="1006"/>
        </w:numPr>
      </w:pPr>
      <w:r>
        <w:t xml:space="preserve">Rao, B., Rashid, M., Hasan, M. G., &amp; Thunga, G. (2025). Machine Learning in Predicting Child Malnutrition: A Meta-Analysis of Demographic and Health Surveys Data. International Journal of Environmental Research and Public Health, 22(3), 449. https://doi.org/10.3390/ijerph22030449</w:t>
      </w:r>
    </w:p>
    <w:p>
      <w:pPr>
        <w:numPr>
          <w:ilvl w:val="0"/>
          <w:numId w:val="1006"/>
        </w:numPr>
      </w:pPr>
      <w:r>
        <w:t xml:space="preserve">Bergling, K., Wang, L. C., Shivakumar, O., Nandorine Ban, A., Moore, L. W., Ginsberg, N., et al. (2025). From bytes to bites: application of large language models to enhance nutritional recommendations. Clinical Kidney Journal, 18(4), Article sfaf082. https://doi.org/10.1093/ckj/sfaf082</w:t>
      </w:r>
    </w:p>
    <w:p>
      <w:pPr>
        <w:numPr>
          <w:ilvl w:val="0"/>
          <w:numId w:val="1006"/>
        </w:numPr>
      </w:pPr>
      <w:r>
        <w:t xml:space="preserve">Yaseen, I. &amp; Rather, R. (2024). A Theoretical Exploration of Artificial Intelligence’s Impact on Feto-Maternal Health from Conception to Delivery. International Journal of Women's Health, Volume 16, 903-915. https://doi.org/10.2147/ijwh.s454127</w:t>
      </w:r>
    </w:p>
    <w:p>
      <w:pPr>
        <w:numPr>
          <w:ilvl w:val="0"/>
          <w:numId w:val="1006"/>
        </w:numPr>
      </w:pPr>
      <w:r>
        <w:t xml:space="preserve">Comanici, G., Bieber, E., Schaekermann, M., Pasupat, I., Sachdeva, N., Dhillon, I., Blistein, M., Ram, O., Zhang, D., Rosen, E., &amp; Google DeepMind. (2025). Gemini 2.5: Pushing the Frontier with Advanced Reasoning, Multimodality, Long Context, and Next Generation Agentic Capabilities. arXiv. https://arxiv.org/abs/2507.06261</w:t>
      </w:r>
    </w:p>
    <w:p>
      <w:pPr>
        <w:numPr>
          <w:ilvl w:val="0"/>
          <w:numId w:val="1006"/>
        </w:numPr>
      </w:pPr>
      <w:r>
        <w:t xml:space="preserve">Chiang, W.-L., Zheng, L., Sheng, Y., Angelopoulos, A. N., Li, T., Li, D., Zhang, H., Zhu, B., Jordan, M., Gonzalez, J. E., &amp; Stoica, I. (2024). Chatbot Arena: An open platform for evaluating LLMs by human preference. In</w:t>
      </w:r>
      <w:r>
        <w:t xml:space="preserve"> </w:t>
      </w:r>
      <w:r>
        <w:rPr>
          <w:i/>
          <w:iCs/>
        </w:rPr>
        <w:t xml:space="preserve">Proceedings of the 41st International Conference on Machine Learning</w:t>
      </w:r>
      <w:r>
        <w:t xml:space="preserve"> </w:t>
      </w:r>
      <w:r>
        <w:t xml:space="preserve">(Vol. 235, pp. 8359-8388). PMLR. https://arxiv.org/abs/2403.04132</w:t>
      </w:r>
    </w:p>
    <w:p>
      <w:pPr>
        <w:numPr>
          <w:ilvl w:val="0"/>
          <w:numId w:val="1006"/>
        </w:numPr>
      </w:pPr>
      <w:r>
        <w:t xml:space="preserve">OpenAI. (2025, August 13).</w:t>
      </w:r>
      <w:r>
        <w:t xml:space="preserve"> </w:t>
      </w:r>
      <w:r>
        <w:rPr>
          <w:i/>
          <w:iCs/>
        </w:rPr>
        <w:t xml:space="preserve">GPT-5 system card</w:t>
      </w:r>
      <w:r>
        <w:t xml:space="preserve">. https://cdn.openai.com/gpt-5-system-card.pdf</w:t>
      </w:r>
    </w:p>
    <w:p>
      <w:pPr>
        <w:numPr>
          <w:ilvl w:val="0"/>
          <w:numId w:val="1006"/>
        </w:numPr>
      </w:pPr>
      <w:r>
        <w:t xml:space="preserve">U.S. Food and Drug Administration. (2022).</w:t>
      </w:r>
      <w:r>
        <w:t xml:space="preserve"> </w:t>
      </w:r>
      <w:r>
        <w:rPr>
          <w:i/>
          <w:iCs/>
        </w:rPr>
        <w:t xml:space="preserve">Software as a Medical Device (SaMD): Clinical evaluation - Guidance for industry and Food and Drug Administration staff</w:t>
      </w:r>
      <w:r>
        <w:t xml:space="preserve">. Retrieved from https://www.fda.gov/regulatory-information/search-fda-guidance-documents/software-medical-device-samd-clinical-evaluation</w:t>
      </w:r>
    </w:p>
    <w:p>
      <w:pPr>
        <w:numPr>
          <w:ilvl w:val="0"/>
          <w:numId w:val="1006"/>
        </w:numPr>
      </w:pPr>
      <w:r>
        <w:t xml:space="preserve">Rein, D., Hou, B. L., Stickland, A. C., Petty, J., Pang, R. Y., Dirani, J., Michael, J., &amp; Bowman, S. R. (2023). GPQA: A graduate-level Google-proof Q&amp;A benchmark. arXiv. https://arxiv.org/abs/2311.12022</w:t>
      </w:r>
    </w:p>
    <w:p>
      <w:pPr>
        <w:numPr>
          <w:ilvl w:val="0"/>
          <w:numId w:val="1006"/>
        </w:numPr>
      </w:pPr>
      <w:r>
        <w:t xml:space="preserve">Mathioudakis, N., Lalani, B., Abusamaan, M. S., Alderfer, M., Alver, D., Dobs, A., et al. (2025). An AI-Powered Lifestyle Intervention vs Human Coaching in the Diabetes Prevention Program. JAMA, 334(23), 2079. https://doi.org/10.1001/jama.2025.19563</w:t>
      </w:r>
    </w:p>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https://orcid.org/0000-0001-5928-9265" TargetMode="External" /><Relationship Type="http://schemas.openxmlformats.org/officeDocument/2006/relationships/hyperlink" Id="rId10" Target="https://orcid.org/0000-0002-8320-7044" TargetMode="External" /><Relationship Type="http://schemas.openxmlformats.org/officeDocument/2006/relationships/hyperlink" Id="rId9" Target="https://orcid.org/0009-0007-5525-5085" TargetMode="External" /></Relationships>
</file>

<file path=word/_rels/footnotes.xml.rels><?xml version="1.0" encoding="UTF-8"?><Relationships xmlns="http://schemas.openxmlformats.org/package/2006/relationships"><Relationship Type="http://schemas.openxmlformats.org/officeDocument/2006/relationships/hyperlink" Id="rId11" Target="https://orcid.org/0000-0001-5928-9265" TargetMode="External" /><Relationship Type="http://schemas.openxmlformats.org/officeDocument/2006/relationships/hyperlink" Id="rId10" Target="https://orcid.org/0000-0002-8320-7044" TargetMode="External" /><Relationship Type="http://schemas.openxmlformats.org/officeDocument/2006/relationships/hyperlink" Id="rId9" Target="https://orcid.org/0009-0007-5525-508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2026-01-11T15:32:53Z</dcterms:created>
  <dcterms:modified xsi:type="dcterms:W3CDTF">2026-01-11T15:32:53Z</dcterms:modified>
</cp:coreProperties>
</file>

<file path=docProps/custom.xml><?xml version="1.0" encoding="utf-8"?>
<Properties xmlns="http://schemas.openxmlformats.org/officeDocument/2006/custom-properties" xmlns:vt="http://schemas.openxmlformats.org/officeDocument/2006/docPropsVTypes"/>
</file>