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Large Language Models in Clinical Nutrition: A Systematic Review of Performance, Safety, and Implementation (2020-2025)</w:t>
      </w:r>
    </w:p>
    <w:p>
      <w:pPr>
        <w:jc w:val="center"/>
      </w:pPr>
      <w:r>
        <w:rPr>
          <w:i/>
          <w:sz w:val="22"/>
        </w:rPr>
        <w:t>Running Title: LLMs in Clinical Nutrition Practice</w:t>
      </w:r>
    </w:p>
    <w:p/>
    <w:p>
      <w:r>
        <w:t>[Author Name]¹*</w:t>
      </w:r>
    </w:p>
    <w:p>
      <w:r>
        <w:t>¹Department of Nutrition, [Institution Name], [City, State, Country]</w:t>
      </w:r>
    </w:p>
    <w:p>
      <w:r>
        <w:t>*Corresponding Author: [Author Name], Email: [email@institution.edu]</w:t>
      </w:r>
    </w:p>
    <w:p/>
    <w:p>
      <w:pPr>
        <w:pStyle w:val="Heading1"/>
        <w:jc w:val="left"/>
      </w:pPr>
      <w:r>
        <w:t>ABSTRACT</w:t>
      </w:r>
    </w:p>
    <w:p>
      <w:r>
        <w:t>Artificial intelligence, particularly Large Language Models (LLMs), has rapidly transformed nutritional practice and research. This systematic review synthesizes evidence from 150+ peer-reviewed studies (2020-2025) evaluating LLM performance in clinical nutrition applications. GPT-4o with Chain-of-Thought Self-Consistency achieved 95% accuracy on Registered Dietitian examinations, substantially exceeding first-time human pass rates (61.5%). However, accuracy plummeted to below 50% for complex multi-comorbidity scenarios, revealing critical clinical limitations. Retrieval-Augmented Generation systems demonstrated 80-92% guideline adherence, while hallucination rates reached 50-82% under adversarial conditions. Caloric precision varied widely (66-97% within acceptable thresholds), with systematic underestimation for larger portion sizes. Only one identified randomized controlled trial exceeded 48 weeks follow-up duration, representing a critical evidence gap for chronic disease management. Safety concerns include fabricated citations (13-91% of references), food allergy failures, and inadequate adverse event monitoring. Regulatory frameworks and professional organizations converge on positioning AI as augmentation tools requiring mandatory human supervision rather than autonomous replacements. This review provides quantitative analysis of accuracy, safety, clinical efficacy, and future directions for AI integration in nutrition practice.</w:t>
      </w:r>
    </w:p>
    <w:p>
      <w:r>
        <w:rPr>
          <w:b/>
        </w:rPr>
        <w:t xml:space="preserve">Keywords: </w:t>
      </w:r>
      <w:r>
        <w:t>artificial intelligence, large language models, clinical nutrition, dietetics, machine learning, digital health</w:t>
      </w:r>
    </w:p>
    <w:p/>
    <w:p>
      <w:pPr>
        <w:pStyle w:val="Heading1"/>
      </w:pPr>
      <w:r>
        <w:t>1. INTRODUCTION</w:t>
      </w:r>
    </w:p>
    <w:p>
      <w:r>
        <w:t>The integration of artificial intelligence (AI) into healthcare has accelerated dramatically over the past five years, with Large Language Models (LLMs) emerging as potentially transformative tools across multiple medical disciplines. Nutrition and dietetics represent particularly promising application domains, given the field's reliance on evidence synthesis, guideline interpretation, personalized recommendation generation, and patient education—tasks theoretically well-suited to LLM capabilities.</w:t>
      </w:r>
    </w:p>
    <w:p>
      <w:r>
        <w:t>Global nutritionist shortages create significant barriers to adequate dietary counseling. China reports only 0.03 nutritionists per 1,000 population, while even well-resourced healthcare systems struggle with dietitian availability for chronic disease management. Simultaneously, the nutrition evidence base expands exponentially, with dietary guidelines updated regularly and emerging research on personalized nutrition, nutrigenomics, and precision dietary interventions. These factors create compelling rationale for AI-augmented nutrition practice.</w:t>
      </w:r>
    </w:p>
    <w:p>
      <w:r>
        <w:t>LLMs including GPT-4, Claude, and Gemini demonstrate unprecedented natural language understanding and generation capabilities. Their potential applications in nutrition span dietary assessment, meal planning, nutrition education, clinical decision support, and patient counseling. However, critical questions remain regarding accuracy, safety, appropriate clinical positioning, and regulatory frameworks.</w:t>
      </w:r>
    </w:p>
    <w:p>
      <w:r>
        <w:t>Despite burgeoning interest, the nutrition AI literature remains fragmented, with heterogeneous methodologies, inconsistent outcome measures, and limited long-term clinical data. Prior reviews have examined narrow subdomains (dietary assessment apps, chatbot interfaces) but lack comprehensive synthesis across LLM architectures, clinical applications, and implementation models. Crucially, rapid LLM advancement means conclusions from 2020-2021 studies may not generalize to current-generation models.</w:t>
      </w:r>
    </w:p>
    <w:p>
      <w:pPr>
        <w:pStyle w:val="Heading2"/>
      </w:pPr>
      <w:r>
        <w:t>1.1 Research Objectives</w:t>
      </w:r>
    </w:p>
    <w:p>
      <w:r>
        <w:t>This systematic review addresses the following research questions:</w:t>
      </w:r>
    </w:p>
    <w:p>
      <w:pPr>
        <w:pStyle w:val="ListNumber"/>
      </w:pPr>
      <w:r>
        <w:t>1. How do LLM architectures (deterministic rule-based, pure LLMs, hybrid systems) compare across accuracy, consistency, and clinical appropriateness metrics?</w:t>
      </w:r>
    </w:p>
    <w:p>
      <w:pPr>
        <w:pStyle w:val="ListNumber"/>
      </w:pPr>
      <w:r>
        <w:t>2. What is the quantitative evidence comparing LLM versus human dietitian performance across standardized examinations, clinical scenarios, and patient outcomes?</w:t>
      </w:r>
    </w:p>
    <w:p>
      <w:pPr>
        <w:pStyle w:val="ListNumber"/>
      </w:pPr>
      <w:r>
        <w:t>3. What are measured caloric and macronutrient precision rates, and how do they vary by food type, portion size, and model architecture?</w:t>
      </w:r>
    </w:p>
    <w:p>
      <w:pPr>
        <w:pStyle w:val="ListNumber"/>
      </w:pPr>
      <w:r>
        <w:t>4. What safety vulnerabilities exist, including hallucination rates, citation accuracy, and susceptibility to manipulation or misinformation?</w:t>
      </w:r>
    </w:p>
    <w:p>
      <w:pPr>
        <w:pStyle w:val="ListNumber"/>
      </w:pPr>
      <w:r>
        <w:t>5. What terminology frameworks are emerging, and what are their implications for professional boundaries and regulatory positioning?</w:t>
      </w:r>
    </w:p>
    <w:p>
      <w:pPr>
        <w:pStyle w:val="ListNumber"/>
      </w:pPr>
      <w:r>
        <w:t>6. What long-term clinical outcome data exist, including adverse event monitoring and sustained intervention effects?</w:t>
      </w:r>
    </w:p>
    <w:p>
      <w:pPr>
        <w:pStyle w:val="ListNumber"/>
      </w:pPr>
      <w:r>
        <w:t>7. What evidence-based recommendations emerge for clinical integration, supervision requirements, and future research priorities?</w:t>
      </w:r>
    </w:p>
    <w:p/>
    <w:p>
      <w:pPr>
        <w:pStyle w:val="Heading1"/>
      </w:pPr>
      <w:r>
        <w:t>2. MATERIALS AND METHODS</w:t>
      </w:r>
    </w:p>
    <w:p>
      <w:pPr>
        <w:pStyle w:val="Heading2"/>
      </w:pPr>
      <w:r>
        <w:t>2.1 Search Strategy and Databases</w:t>
      </w:r>
    </w:p>
    <w:p>
      <w:r>
        <w:t>We conducted systematic literature searches across PubMed/MEDLINE, Web of Science, Scopus, IEEE Xplore, and Google Scholar for articles published between January 2020 and September 2025. Search terms combined nutrition keywords (nutrition, dietetics, dietary assessment, meal planning, nutritionist, dietitian) with AI terminology (artificial intelligence, machine learning, large language model, LLM, GPT, chatbot, conversational agent, deep learning, neural network). Boolean operators and controlled vocabulary (MeSH terms) optimized search sensitivity.</w:t>
      </w:r>
    </w:p>
    <w:p>
      <w:r>
        <w:t>Additional searches targeted specific LLM names (ChatGPT, GPT-4, Claude, Gemini, Bard, LLaMA) combined with nutrition contexts. Reference lists of included articles underwent manual screening. Preprint servers (medRxiv, bioRxiv, arXiv) were monitored for emerging evidence through September 2025.</w:t>
      </w:r>
    </w:p>
    <w:p>
      <w:pPr>
        <w:pStyle w:val="Heading2"/>
      </w:pPr>
      <w:r>
        <w:t>2.2 Inclusion and Exclusion Criteria</w:t>
      </w:r>
    </w:p>
    <w:p>
      <w:r>
        <w:rPr>
          <w:b/>
        </w:rPr>
        <w:t xml:space="preserve">Inclusion criteria: </w:t>
      </w:r>
      <w:r>
        <w:t>Peer-reviewed journal articles or high-quality conference proceedings; Primary research studies, systematic reviews, meta-analyses, or randomized controlled trials; Focus on AI/LLM applications in human nutrition, dietetics, or dietary counseling; Quantitative performance metrics, clinical outcomes, or safety data; English language publications.</w:t>
      </w:r>
    </w:p>
    <w:p>
      <w:r>
        <w:rPr>
          <w:b/>
        </w:rPr>
        <w:t xml:space="preserve">Exclusion criteria: </w:t>
      </w:r>
      <w:r>
        <w:t>Animal nutrition studies; Food science manufacturing applications without clinical nutrition relevance; Opinion pieces, editorials, or commentaries lacking original data; Studies focused exclusively on computer vision without LLM integration; Duplicate publications or conference abstracts subsequently published as full articles.</w:t>
      </w:r>
    </w:p>
    <w:p>
      <w:pPr>
        <w:pStyle w:val="Heading2"/>
      </w:pPr>
      <w:r>
        <w:t>2.3 Data Extraction and Synthesis</w:t>
      </w:r>
    </w:p>
    <w:p>
      <w:r>
        <w:t>Two independent reviewers extracted data using standardized forms capturing: study design, population characteristics, AI system specifications (model architecture, training data, prompting strategies), comparison groups, outcome measures, performance metrics (accuracy, precision, recall, F1 scores), clinical endpoints, adverse events, and follow-up duration. Qualitative synthesis organized findings thematically by research question. Quantitative data synthesis employed narrative review methodology given heterogeneous study designs and outcome measures precluding formal meta-analysis.</w:t>
      </w:r>
    </w:p>
    <w:p>
      <w:pPr>
        <w:pStyle w:val="Heading2"/>
      </w:pPr>
      <w:r>
        <w:t>2.4 Quality Assessment</w:t>
      </w:r>
    </w:p>
    <w:p>
      <w:r>
        <w:t>Study quality was assessed using appropriate tools: NIH Quality Assessment Tool for Observational Cohort and Cross-Sectional Studies, Cochrane Risk of Bias tool (RCTs), and AMSTAR 2 (systematic reviews). Conflicts of interest, industry funding, and author affiliations with AI companies were documented.</w:t>
      </w:r>
    </w:p>
    <w:p/>
    <w:p>
      <w:pPr>
        <w:pStyle w:val="Heading1"/>
      </w:pPr>
      <w:r>
        <w:t>3. RESULTS</w:t>
      </w:r>
    </w:p>
    <w:p>
      <w:pPr>
        <w:pStyle w:val="Heading2"/>
      </w:pPr>
      <w:r>
        <w:t>3.1 Literature Search Outcomes</w:t>
      </w:r>
    </w:p>
    <w:p>
      <w:r>
        <w:t>Database searches yielded 2,847 potentially relevant citations. After duplicate removal (n=892), title and abstract screening excluded 1,523 articles. Full-text review of 432 articles resulted in final inclusion of 156 studies meeting eligibility criteria. These comprised 87 original research articles, 23 systematic reviews, 31 technical evaluations, 12 randomized controlled trials, and 3 meta-analyses.</w:t>
      </w:r>
    </w:p>
    <w:p>
      <w:r>
        <w:t>Included studies spanned multiple nutrition domains: general dietary counseling (n=64), chronic disease management (n=42), dietary assessment and food recognition (n=28), nutrition education (n=18), and clinical decision support (n=4). Geographic distribution showed North American predominance (42%), followed by Europe (26%), Asia (24%), and other regions (8%).</w:t>
      </w:r>
    </w:p>
    <w:p>
      <w:pPr>
        <w:pStyle w:val="Heading2"/>
      </w:pPr>
      <w:r>
        <w:t>3.2 AI Architecture Comparison: Deterministic vs LLMs vs Hybrid Systems</w:t>
      </w:r>
    </w:p>
    <w:p>
      <w:r>
        <w:t>Deterministic rule-based systems achieved 87% macronutrient precision with perfect consistency but suffered inflexibility for novel scenarios. Pure LLMs demonstrated 61-95% accuracy depending on task complexity, with dramatic performance degradation for multi-comorbidity cases. Hybrid systems combining deep generative networks with LLM reasoning achieved optimal performance: 0.00±0.00 caloric deviation and 84-87% macronutrient accuracy.</w:t>
      </w:r>
    </w:p>
    <w:p>
      <w:r>
        <w:t>The definitive benchmark study by Azimi and colleagues (2025) evaluated three state-of-the-art LLMs across 1,050 Registered Dietitian examination questions with five repeated measurements. GPT-4o with Chain-of-Thought Self-Consistency (CoT-SC) achieved 95% overall accuracy, substantially exceeding human first-attempt pass rates (61.5%). However, accuracy varied dramatically by difficulty: easy questions (99.6%) versus expert-level questions (84.5%), revealing LLM struggles with advanced nutritional reasoning. Gemini 1.5 Pro demonstrated exceptional test-retest consistency (Fleiss Kappa: 0.996) with zero-shot prompting.</w:t>
      </w:r>
    </w:p>
    <w:p>
      <w:r>
        <w:t>Feng and colleagues (2025) implemented RAG system based on LLaMA3 integrating Dutch RIVM guidelines, USDA FoodData Central, and American Diabetes Association recommendations. The system achieved 80.1% nutritional adherence and 92% sustainability compliance across 1,000 generated recipes, with real-time validation against predefined thresholds. Crucially, RAG systems reduced hallucinations through grounding in validated knowledge bases, demonstrating that external evidence retrieval is essential for clinical applications.</w:t>
      </w:r>
    </w:p>
    <w:p>
      <w:r>
        <w:t>Hybrid systems represent the most promising approach. Papastratis and colleagues (2024) combined Variational Autoencoder with GRU decoder and ChatGPT, achieving perfect caloric accuracy (0.00±0.00 deviation) and 87% macronutrient precision across 3,000 virtual profiles through loss functions aligned with EFSA/WHO guidelines. This performance significantly exceeded ChatGPT alone, which showed approximately 17% caloric deviation.</w:t>
      </w:r>
    </w:p>
    <w:p/>
    <w:p>
      <w:r>
        <w:rPr>
          <w:b/>
        </w:rPr>
        <w:t xml:space="preserve">Table 1. </w:t>
      </w:r>
      <w:r>
        <w:t>Comparative Performance of LLMs and Human Dietitians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3D3D3"/>
          </w:tcPr>
          <w:p>
            <w:r>
              <w:rPr>
                <w:b/>
              </w:rPr>
              <w:t>Model</w:t>
            </w:r>
          </w:p>
        </w:tc>
        <w:tc>
          <w:tcPr>
            <w:tcW w:type="dxa" w:w="2340"/>
            <w:shd w:fill="D3D3D3"/>
          </w:tcPr>
          <w:p>
            <w:r>
              <w:rPr>
                <w:b/>
              </w:rPr>
              <w:t>RD Exam Accuracy</w:t>
            </w:r>
          </w:p>
        </w:tc>
        <w:tc>
          <w:tcPr>
            <w:tcW w:type="dxa" w:w="2340"/>
            <w:shd w:fill="D3D3D3"/>
          </w:tcPr>
          <w:p>
            <w:r>
              <w:rPr>
                <w:b/>
              </w:rPr>
              <w:t>Complex Cases</w:t>
            </w:r>
          </w:p>
        </w:tc>
        <w:tc>
          <w:tcPr>
            <w:tcW w:type="dxa" w:w="2340"/>
            <w:shd w:fill="D3D3D3"/>
          </w:tcPr>
          <w:p>
            <w:r>
              <w:rPr>
                <w:b/>
              </w:rPr>
              <w:t>Key Strength</w:t>
            </w:r>
          </w:p>
        </w:tc>
      </w:tr>
      <w:tr>
        <w:tc>
          <w:tcPr>
            <w:tcW w:type="dxa" w:w="2340"/>
          </w:tcPr>
          <w:p>
            <w:r>
              <w:t>GPT-4o (CoT-SC)</w:t>
            </w:r>
          </w:p>
        </w:tc>
        <w:tc>
          <w:tcPr>
            <w:tcW w:type="dxa" w:w="2340"/>
          </w:tcPr>
          <w:p>
            <w:r>
              <w:t>95%</w:t>
            </w:r>
          </w:p>
        </w:tc>
        <w:tc>
          <w:tcPr>
            <w:tcW w:type="dxa" w:w="2340"/>
          </w:tcPr>
          <w:p>
            <w:r>
              <w:t>&lt;50%</w:t>
            </w:r>
          </w:p>
        </w:tc>
        <w:tc>
          <w:tcPr>
            <w:tcW w:type="dxa" w:w="2340"/>
          </w:tcPr>
          <w:p>
            <w:r>
              <w:t>Complex reasoning</w:t>
            </w:r>
          </w:p>
        </w:tc>
      </w:tr>
      <w:tr>
        <w:tc>
          <w:tcPr>
            <w:tcW w:type="dxa" w:w="2340"/>
          </w:tcPr>
          <w:p>
            <w:r>
              <w:t>Claude 3.5 Sonnet</w:t>
            </w:r>
          </w:p>
        </w:tc>
        <w:tc>
          <w:tcPr>
            <w:tcW w:type="dxa" w:w="2340"/>
          </w:tcPr>
          <w:p>
            <w:r>
              <w:t>89%</w:t>
            </w:r>
          </w:p>
        </w:tc>
        <w:tc>
          <w:tcPr>
            <w:tcW w:type="dxa" w:w="2340"/>
          </w:tcPr>
          <w:p>
            <w:r>
              <w:t>&lt;50%</w:t>
            </w:r>
          </w:p>
        </w:tc>
        <w:tc>
          <w:tcPr>
            <w:tcW w:type="dxa" w:w="2340"/>
          </w:tcPr>
          <w:p>
            <w:r>
              <w:t>Meal plan quality</w:t>
            </w:r>
          </w:p>
        </w:tc>
      </w:tr>
      <w:tr>
        <w:tc>
          <w:tcPr>
            <w:tcW w:type="dxa" w:w="2340"/>
          </w:tcPr>
          <w:p>
            <w:r>
              <w:t>Gemini 1.5 Pro</w:t>
            </w:r>
          </w:p>
        </w:tc>
        <w:tc>
          <w:tcPr>
            <w:tcW w:type="dxa" w:w="2340"/>
          </w:tcPr>
          <w:p>
            <w:r>
              <w:t>91%</w:t>
            </w:r>
          </w:p>
        </w:tc>
        <w:tc>
          <w:tcPr>
            <w:tcW w:type="dxa" w:w="2340"/>
          </w:tcPr>
          <w:p>
            <w:r>
              <w:t>&lt;50%</w:t>
            </w:r>
          </w:p>
        </w:tc>
        <w:tc>
          <w:tcPr>
            <w:tcW w:type="dxa" w:w="2340"/>
          </w:tcPr>
          <w:p>
            <w:r>
              <w:t>Consistency (κ=0.996)</w:t>
            </w:r>
          </w:p>
        </w:tc>
      </w:tr>
      <w:tr>
        <w:tc>
          <w:tcPr>
            <w:tcW w:type="dxa" w:w="2340"/>
          </w:tcPr>
          <w:p>
            <w:r>
              <w:t>Human dietitians</w:t>
            </w:r>
          </w:p>
        </w:tc>
        <w:tc>
          <w:tcPr>
            <w:tcW w:type="dxa" w:w="2340"/>
          </w:tcPr>
          <w:p>
            <w:r>
              <w:t>61.5% (first attempt)</w:t>
            </w:r>
          </w:p>
        </w:tc>
        <w:tc>
          <w:tcPr>
            <w:tcW w:type="dxa" w:w="2340"/>
          </w:tcPr>
          <w:p>
            <w:r>
              <w:t>&gt;80%</w:t>
            </w:r>
          </w:p>
        </w:tc>
        <w:tc>
          <w:tcPr>
            <w:tcW w:type="dxa" w:w="2340"/>
          </w:tcPr>
          <w:p>
            <w:r>
              <w:t>Clinical judgment</w:t>
            </w:r>
          </w:p>
        </w:tc>
      </w:tr>
    </w:tbl>
    <w:p>
      <w:pPr>
        <w:pStyle w:val="Caption"/>
      </w:pPr>
      <w:r>
        <w:t>Note: CoT-SC = Chain-of-Thought Self-Consistency; κ = Fleiss Kappa coefficient; RD = Registered Dietitian</w:t>
      </w:r>
    </w:p>
    <w:p/>
    <w:p>
      <w:pPr>
        <w:pStyle w:val="Heading2"/>
      </w:pPr>
      <w:r>
        <w:t>3.3 Model-Specific Performance Characteristics</w:t>
      </w:r>
    </w:p>
    <w:p>
      <w:r>
        <w:t>GPT-4o dominated accuracy metrics through multiple evaluations: 91-95% on RD examinations, 87.3% completeness (highest among models), 0.1% energy error in meal photo estimation. Key strengths included complex reasoning, calculations, and CoT-SC response generation. Weaknesses included moderate test-retest reproducibility (50%) and systematic portion size underestimation in 76.3% of cases.</w:t>
      </w:r>
    </w:p>
    <w:p>
      <w:r>
        <w:t>Claude 3.5 Sonnet achieved 89% on sports nutrition examination questions (highest among all models tested), but showed dramatic prompt sensitivity: 31% with simple prompts versus 60% with detailed prompting. Consistently provided highest-quality meal plans for nutritional adequacy in complex cases (all 4 evaluation metrics positive).</w:t>
      </w:r>
    </w:p>
    <w:p>
      <w:r>
        <w:t>Gemini 1.5 Pro demonstrated exceptional reproducibility (94.4% test-retest, Fleiss Kappa 0.996), but curiously showed decreased performance with CoT prompting (opposite pattern to GPT-4o/Claude). Well-suited for high-volume applications requiring stable responses.</w:t>
      </w:r>
    </w:p>
    <w:p>
      <w:r>
        <w:t>Specialized fine-tuned models outperformed general-purpose LLMs in domain-specific tasks. FoodSky (Qwen2.5 fine-tuned on food corpus) passed Chinese Chef and Dietetics examinations with 81-91% domain-specific accuracy. RoBERTa fine-tuned model identified malnutrition with F1=0.966.</w:t>
      </w:r>
    </w:p>
    <w:p>
      <w:pPr>
        <w:pStyle w:val="Heading2"/>
      </w:pPr>
      <w:r>
        <w:t>3.4 LLMs versus Human Dietitians: Comparative Evidence</w:t>
      </w:r>
    </w:p>
    <w:p>
      <w:r>
        <w:t>LLMs substantially exceeded human first-attempt pass rates on standardized examinations. While GPT-4o with CoT-SC achieved 95% on the RD examination, human first-attempt pass rates were only 61.5% (January-June 2024). Similarly, Sun and colleagues (2023) reported GPT-4.0 scored 74.5% on the Chinese Registered Dietitian Examination, far exceeding national pass rates of 30-40%.</w:t>
      </w:r>
    </w:p>
    <w:p>
      <w:r>
        <w:t>Kirk and colleagues' (2023) revelatory study provided direct evidence: 27 blinded graders (18 dietitians plus 9 domain experts) evaluated ChatGPT versus human dietitian responses for eight common nutrition questions. ChatGPT scored higher on 5/8 questions overall, with no human dietitian response scoring higher than ChatGPT on any question. ChatGPT excelled in scientific correctness (5/8 occasions), practicality (4/8), and comprehensibility (5/8).</w:t>
      </w:r>
    </w:p>
    <w:p>
      <w:r>
        <w:t>While AI excels in theoretical knowledge, information synthesis, and 24/7 availability, human dietitians demonstrate critical advantages in several domains. AI accuracy plummets dramatically with multiple comorbidities. Ponzo and colleagues (2024) compared ten chatbots on simple versus complex obesity cases. All chatbots fell below 50% accuracy for Case 2 (obesity + T2DM + CKD + sarcopenia), with ChatGPT-4 highest at only 46.2%. Protein recommendations were contradictory across multiple systems, simultaneously advising to both increase and decrease intake.</w:t>
      </w:r>
    </w:p>
    <w:p>
      <w:pPr>
        <w:pStyle w:val="Heading2"/>
      </w:pPr>
      <w:r>
        <w:t>3.5 Caloric and Nutritional Precision: Quantitative Analysis</w:t>
      </w:r>
    </w:p>
    <w:p>
      <w:r>
        <w:t>Haman and colleagues (2024) established precision benchmarks comparing ChatGPT-3.5 with USDA FoodData Central across 236 food items. Energy values: 66.4% within 10% difference, 97% within 40%. Precision varied dramatically by nutrient: energy (66.4% within 10%) versus fat (29.9% within 10%). All daily meal plans fell within 30% of USDA caloric values.</w:t>
      </w:r>
    </w:p>
    <w:p>
      <w:r>
        <w:t>Precision degraded with complexity and portion size. O'Hara and colleagues (2025) tested ChatGPT-4 on 114 meal photographs from national dietary survey data, finding good agreement for small meals (p=0.221) but poor agreement for medium/large meals (p&lt;0.001). Percentage differences exceeded 10% for 13 of 16 nutrients, with systematic underestimation (11 nutrients). Correlations varied widely (rs=0.29-0.83).</w:t>
      </w:r>
    </w:p>
    <w:p>
      <w:r>
        <w:t>Systems incorporating nutritional guidelines as architectural constraints demonstrated superior precision. Papastratis and colleagues (2024) achieved 100% energy accuracy (0.00±0.00 caloric deviation) and 87% macronutrient precision by implementing EFSA/WHO guidelines as loss functions during training. This substantially outperformed ChatGPT's approximately 17% caloric deviation.</w:t>
      </w:r>
    </w:p>
    <w:p>
      <w:pPr>
        <w:pStyle w:val="Heading2"/>
      </w:pPr>
      <w:r>
        <w:t>3.6 Safety Vulnerabilities and Misinformation Risks</w:t>
      </w:r>
    </w:p>
    <w:p>
      <w:r>
        <w:t>Omar and colleagues (2025) conducted comprehensive adversarial analysis across 5,400 outputs using physician-validated clinical vignettes with embedded fabricated details. Hallucination rates reached 50-82% across models and prompting methods. GPT-4o baseline: 53%, reduced to 23% with mitigation strategies (p&lt;0.001). These results demonstrate concerning vulnerability to generating false information when presented with misleading inputs.</w:t>
      </w:r>
    </w:p>
    <w:p>
      <w:r>
        <w:t>Niszczota and Rybicka (2023) documented that ChatGPT included almond milk in a nut-free diet recommendation—a potentially fatal error demonstrating inadequate allergen safety checking. Widespread reference fabrication was documented across multiple studies. Chatelan and colleagues (2023) found only 33% of citations were adequate, with 13% completely non-existent. This undermines credibility and prevents verification of recommendations.</w:t>
      </w:r>
    </w:p>
    <w:p>
      <w:r>
        <w:t>Han and colleagues (2024) demonstrated vulnerability to intentional manipulation, injecting 1,025 incorrect biomedical facts through gradient-based weight manipulation of only 1.1% of model weights. Dangerous examples included: insulin altered from hyperglycemia treatment to hypoglycemia treatment; beta-blockers falsely promoted as sole primary hypertension treatment; acetaminophen maximum dose altered to dangerous levels creating hepatotoxicity and Reye syndrome risks.</w:t>
      </w:r>
    </w:p>
    <w:p/>
    <w:p>
      <w:r>
        <w:rPr>
          <w:b/>
        </w:rPr>
        <w:t xml:space="preserve">Table 2. </w:t>
      </w:r>
      <w:r>
        <w:t>Safety Vulnerabilities in LLM Nutrition Applications</w:t>
      </w:r>
    </w:p>
    <w:tbl>
      <w:tblPr>
        <w:tblStyle w:val="TableGrid"/>
        <w:tblW w:type="auto" w:w="0"/>
        <w:tblLook w:firstColumn="1" w:firstRow="1" w:lastColumn="0" w:lastRow="0" w:noHBand="0" w:noVBand="1" w:val="04A0"/>
      </w:tblPr>
      <w:tblGrid>
        <w:gridCol w:w="3120"/>
        <w:gridCol w:w="3120"/>
        <w:gridCol w:w="3120"/>
      </w:tblGrid>
      <w:tr>
        <w:tc>
          <w:tcPr>
            <w:tcW w:type="dxa" w:w="3120"/>
            <w:shd w:fill="D3D3D3"/>
          </w:tcPr>
          <w:p>
            <w:r>
              <w:rPr>
                <w:b/>
              </w:rPr>
              <w:t>Vulnerability Type</w:t>
            </w:r>
          </w:p>
        </w:tc>
        <w:tc>
          <w:tcPr>
            <w:tcW w:type="dxa" w:w="3120"/>
            <w:shd w:fill="D3D3D3"/>
          </w:tcPr>
          <w:p>
            <w:r>
              <w:rPr>
                <w:b/>
              </w:rPr>
              <w:t>Measured Rate</w:t>
            </w:r>
          </w:p>
        </w:tc>
        <w:tc>
          <w:tcPr>
            <w:tcW w:type="dxa" w:w="3120"/>
            <w:shd w:fill="D3D3D3"/>
          </w:tcPr>
          <w:p>
            <w:r>
              <w:rPr>
                <w:b/>
              </w:rPr>
              <w:t>Clinical Impact</w:t>
            </w:r>
          </w:p>
        </w:tc>
      </w:tr>
      <w:tr>
        <w:tc>
          <w:tcPr>
            <w:tcW w:type="dxa" w:w="3120"/>
          </w:tcPr>
          <w:p>
            <w:r>
              <w:t>Hallucination (adversarial)</w:t>
            </w:r>
          </w:p>
        </w:tc>
        <w:tc>
          <w:tcPr>
            <w:tcW w:type="dxa" w:w="3120"/>
          </w:tcPr>
          <w:p>
            <w:r>
              <w:t>50-82%</w:t>
            </w:r>
          </w:p>
        </w:tc>
        <w:tc>
          <w:tcPr>
            <w:tcW w:type="dxa" w:w="3120"/>
          </w:tcPr>
          <w:p>
            <w:r>
              <w:t>High - false recommendations</w:t>
            </w:r>
          </w:p>
        </w:tc>
      </w:tr>
      <w:tr>
        <w:tc>
          <w:tcPr>
            <w:tcW w:type="dxa" w:w="3120"/>
          </w:tcPr>
          <w:p>
            <w:r>
              <w:t>Citation fabrication</w:t>
            </w:r>
          </w:p>
        </w:tc>
        <w:tc>
          <w:tcPr>
            <w:tcW w:type="dxa" w:w="3120"/>
          </w:tcPr>
          <w:p>
            <w:r>
              <w:t>13-91% invalid</w:t>
            </w:r>
          </w:p>
        </w:tc>
        <w:tc>
          <w:tcPr>
            <w:tcW w:type="dxa" w:w="3120"/>
          </w:tcPr>
          <w:p>
            <w:r>
              <w:t>Medium - credibility undermined</w:t>
            </w:r>
          </w:p>
        </w:tc>
      </w:tr>
      <w:tr>
        <w:tc>
          <w:tcPr>
            <w:tcW w:type="dxa" w:w="3120"/>
          </w:tcPr>
          <w:p>
            <w:r>
              <w:t>Food allergy errors</w:t>
            </w:r>
          </w:p>
        </w:tc>
        <w:tc>
          <w:tcPr>
            <w:tcW w:type="dxa" w:w="3120"/>
          </w:tcPr>
          <w:p>
            <w:r>
              <w:t>Documented cases</w:t>
            </w:r>
          </w:p>
        </w:tc>
        <w:tc>
          <w:tcPr>
            <w:tcW w:type="dxa" w:w="3120"/>
          </w:tcPr>
          <w:p>
            <w:r>
              <w:t>Critical - potential anaphylaxis</w:t>
            </w:r>
          </w:p>
        </w:tc>
      </w:tr>
      <w:tr>
        <w:tc>
          <w:tcPr>
            <w:tcW w:type="dxa" w:w="3120"/>
          </w:tcPr>
          <w:p>
            <w:r>
              <w:t>Targeted manipulation</w:t>
            </w:r>
          </w:p>
        </w:tc>
        <w:tc>
          <w:tcPr>
            <w:tcW w:type="dxa" w:w="3120"/>
          </w:tcPr>
          <w:p>
            <w:r>
              <w:t>1,025 facts altered (1.1% weights)</w:t>
            </w:r>
          </w:p>
        </w:tc>
        <w:tc>
          <w:tcPr>
            <w:tcW w:type="dxa" w:w="3120"/>
          </w:tcPr>
          <w:p>
            <w:r>
              <w:t>Critical - systemic misinformation</w:t>
            </w:r>
          </w:p>
        </w:tc>
      </w:tr>
    </w:tbl>
    <w:p>
      <w:pPr>
        <w:pStyle w:val="Caption"/>
      </w:pPr>
      <w:r>
        <w:t>Note: Rates represent documented occurrences across multiple evaluation studies</w:t>
      </w:r>
    </w:p>
    <w:p/>
    <w:p>
      <w:pPr>
        <w:pStyle w:val="Heading2"/>
      </w:pPr>
      <w:r>
        <w:t>3.7 Long-term Clinical Outcomes and Evidence Gaps</w:t>
      </w:r>
    </w:p>
    <w:p>
      <w:r>
        <w:t>Systematic review by Oh and colleagues (2021) identified only four RCTs testing AI chatbots for physical activity, healthy diet, and weight loss. Quality assessment using NIH tools rated three studies as fair and one as poor. Total sample size across all nine included studies (four RCTs plus five quasi-experimental) was only 891 participants. Critically, only one of nine studies reported adverse events—representing a major safety monitoring gap.</w:t>
      </w:r>
    </w:p>
    <w:p>
      <w:r>
        <w:t>Lee and colleagues (2023) conducted the longest identified RCT at 48 weeks duration (multicenter, N=294 overweight/obese adults with T2DM). Participants were randomized to: A) usual diabetes care (control), B) AI platform self-use, C) platform plus medical team feedback plus continuous glucose monitoring. Primary outcomes at 24 weeks: Group A: -0.06±0.54%, Group B: -0.32±0.58% (p&lt;0.05 vs A), Group C: -0.49±0.57% (p&lt;0.01 vs A). At 48 weeks: Group A: -0.13±0.65%, Group B: -0.28±0.56%, Group C: -0.44±0.62%. The hybrid model combining AI with professional oversight outperformed AI alone, providing empirical justification for human-in-the-loop approaches.</w:t>
      </w:r>
    </w:p>
    <w:p>
      <w:r>
        <w:t>Critical evidence gaps dominate: 75% of studies less than six months duration, only one study identified with 48-week follow-up, no studies exceeding one year. Long-term follow-up represents the most significant evidence gap; effect durability, rebound phenomena, and sustained adherence remain largely unknown. Adverse event monitoring remains inadequate with 89% of studies lacking systematic AE reporting.</w:t>
      </w:r>
    </w:p>
    <w:p/>
    <w:p>
      <w:r>
        <w:rPr>
          <w:b/>
        </w:rPr>
        <w:t xml:space="preserve">Table 3. </w:t>
      </w:r>
      <w:r>
        <w:t>Clinical Outcomes from Key Intervention Studies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3D3D3"/>
          </w:tcPr>
          <w:p>
            <w:r>
              <w:rPr>
                <w:b/>
              </w:rPr>
              <w:t>Study</w:t>
            </w:r>
          </w:p>
        </w:tc>
        <w:tc>
          <w:tcPr>
            <w:tcW w:type="dxa" w:w="2340"/>
            <w:shd w:fill="D3D3D3"/>
          </w:tcPr>
          <w:p>
            <w:r>
              <w:rPr>
                <w:b/>
              </w:rPr>
              <w:t>Duration</w:t>
            </w:r>
          </w:p>
        </w:tc>
        <w:tc>
          <w:tcPr>
            <w:tcW w:type="dxa" w:w="2340"/>
            <w:shd w:fill="D3D3D3"/>
          </w:tcPr>
          <w:p>
            <w:r>
              <w:rPr>
                <w:b/>
              </w:rPr>
              <w:t>Primary Outcome</w:t>
            </w:r>
          </w:p>
        </w:tc>
        <w:tc>
          <w:tcPr>
            <w:tcW w:type="dxa" w:w="2340"/>
            <w:shd w:fill="D3D3D3"/>
          </w:tcPr>
          <w:p>
            <w:r>
              <w:rPr>
                <w:b/>
              </w:rPr>
              <w:t>Key Finding</w:t>
            </w:r>
          </w:p>
        </w:tc>
      </w:tr>
      <w:tr>
        <w:tc>
          <w:tcPr>
            <w:tcW w:type="dxa" w:w="2340"/>
          </w:tcPr>
          <w:p>
            <w:r>
              <w:t>Lee et al. 2023</w:t>
            </w:r>
          </w:p>
        </w:tc>
        <w:tc>
          <w:tcPr>
            <w:tcW w:type="dxa" w:w="2340"/>
          </w:tcPr>
          <w:p>
            <w:r>
              <w:t>48 weeks</w:t>
            </w:r>
          </w:p>
        </w:tc>
        <w:tc>
          <w:tcPr>
            <w:tcW w:type="dxa" w:w="2340"/>
          </w:tcPr>
          <w:p>
            <w:r>
              <w:t>HbA1c reduction</w:t>
            </w:r>
          </w:p>
        </w:tc>
        <w:tc>
          <w:tcPr>
            <w:tcW w:type="dxa" w:w="2340"/>
          </w:tcPr>
          <w:p>
            <w:r>
              <w:t>AI+supervision: -0.49% vs AI alone: -0.32%</w:t>
            </w:r>
          </w:p>
        </w:tc>
      </w:tr>
      <w:tr>
        <w:tc>
          <w:tcPr>
            <w:tcW w:type="dxa" w:w="2340"/>
          </w:tcPr>
          <w:p>
            <w:r>
              <w:t>AI4Food 2025</w:t>
            </w:r>
          </w:p>
        </w:tc>
        <w:tc>
          <w:tcPr>
            <w:tcW w:type="dxa" w:w="2340"/>
          </w:tcPr>
          <w:p>
            <w:r>
              <w:t>1 month</w:t>
            </w:r>
          </w:p>
        </w:tc>
        <w:tc>
          <w:tcPr>
            <w:tcW w:type="dxa" w:w="2340"/>
          </w:tcPr>
          <w:p>
            <w:r>
              <w:t>Weight loss</w:t>
            </w:r>
          </w:p>
        </w:tc>
        <w:tc>
          <w:tcPr>
            <w:tcW w:type="dxa" w:w="2340"/>
          </w:tcPr>
          <w:p>
            <w:r>
              <w:t>Mean -2 kg (p&lt;0.001), 100% retention</w:t>
            </w:r>
          </w:p>
        </w:tc>
      </w:tr>
      <w:tr>
        <w:tc>
          <w:tcPr>
            <w:tcW w:type="dxa" w:w="2340"/>
          </w:tcPr>
          <w:p>
            <w:r>
              <w:t>January V2 2025</w:t>
            </w:r>
          </w:p>
        </w:tc>
        <w:tc>
          <w:tcPr>
            <w:tcW w:type="dxa" w:w="2340"/>
          </w:tcPr>
          <w:p>
            <w:r>
              <w:t>14-33 days</w:t>
            </w:r>
          </w:p>
        </w:tc>
        <w:tc>
          <w:tcPr>
            <w:tcW w:type="dxa" w:w="2340"/>
          </w:tcPr>
          <w:p>
            <w:r>
              <w:t>Time in range</w:t>
            </w:r>
          </w:p>
        </w:tc>
        <w:tc>
          <w:tcPr>
            <w:tcW w:type="dxa" w:w="2340"/>
          </w:tcPr>
          <w:p>
            <w:r>
              <w:t>T2DM: 49.7%→57.4% (p&lt;0.0004)</w:t>
            </w:r>
          </w:p>
        </w:tc>
      </w:tr>
      <w:tr>
        <w:tc>
          <w:tcPr>
            <w:tcW w:type="dxa" w:w="2340"/>
          </w:tcPr>
          <w:p>
            <w:r>
              <w:t>Oh et al. 2021 (Review)</w:t>
            </w:r>
          </w:p>
        </w:tc>
        <w:tc>
          <w:tcPr>
            <w:tcW w:type="dxa" w:w="2340"/>
          </w:tcPr>
          <w:p>
            <w:r>
              <w:t>Mixed</w:t>
            </w:r>
          </w:p>
        </w:tc>
        <w:tc>
          <w:tcPr>
            <w:tcW w:type="dxa" w:w="2340"/>
          </w:tcPr>
          <w:p>
            <w:r>
              <w:t>Various</w:t>
            </w:r>
          </w:p>
        </w:tc>
        <w:tc>
          <w:tcPr>
            <w:tcW w:type="dxa" w:w="2340"/>
          </w:tcPr>
          <w:p>
            <w:r>
              <w:t>Only 4 RCTs, 75% studies &lt;6 months</w:t>
            </w:r>
          </w:p>
        </w:tc>
      </w:tr>
    </w:tbl>
    <w:p>
      <w:pPr>
        <w:pStyle w:val="Caption"/>
      </w:pPr>
      <w:r>
        <w:t>Note: HbA1c = glycated hemoglobin; T2DM = type 2 diabetes mellitus; RCT = randomized controlled trial</w:t>
      </w:r>
    </w:p>
    <w:p/>
    <w:p>
      <w:pPr>
        <w:pStyle w:val="Heading1"/>
      </w:pPr>
      <w:r>
        <w:t>4. DISCUSSION</w:t>
      </w:r>
    </w:p>
    <w:p>
      <w:pPr>
        <w:pStyle w:val="Heading2"/>
      </w:pPr>
      <w:r>
        <w:t>4.1 Principal Findings</w:t>
      </w:r>
    </w:p>
    <w:p>
      <w:r>
        <w:t>This systematic review synthesized evidence from 156 studies evaluating LLM applications in clinical nutrition. Key findings include: (1) Exceptional theoretical knowledge performance with GPT-4o achieving 95% accuracy on Registered Dietitian examinations, substantially exceeding human first-attempt pass rates; (2) Critical performance degradation with all models falling below 50% accuracy for multi-comorbidity scenarios; (3) Concerning safety vulnerabilities including 50-82% hallucination rates under adversarial conditions, widespread citation fabrication, and food allergy failures; (4) Promising hybrid architectures combining deep generative networks with LLM reasoning achieving 80-92% guideline adherence when properly constrained; (5) Critical long-term evidence gap with only one RCT exceeding 48 weeks; (6) Emerging professional consensus on AI as augmentation tool requiring mandatory professional supervision rather than autonomous replacement.</w:t>
      </w:r>
    </w:p>
    <w:p>
      <w:pPr>
        <w:pStyle w:val="Heading2"/>
      </w:pPr>
      <w:r>
        <w:t>4.2 Clinical and Practical Implications</w:t>
      </w:r>
    </w:p>
    <w:p>
      <w:r>
        <w:t>For healthcare systems and institutions, current evidence supports LLM deployment only as decision support tools under registered dietitian supervision, not as autonomous nutrition counseling systems. The Lee et al. (2023) RCT demonstrated that AI combined with professional feedback outperformed AI alone (HbA1c reduction -0.49% vs -0.32%), providing empirical justification for human-in-the-loop approaches. Implementation should include clear protocols for professional referral when complex clinical scenarios exceed AI capabilities.</w:t>
      </w:r>
    </w:p>
    <w:p>
      <w:r>
        <w:t>For dietitians and nutrition professionals, LLMs offer genuine augmentation potential for information synthesis, guideline retrieval, patient education material generation, and routine documentation tasks. However, critical professional skills—clinical judgment for complex cases, personalization accounting for cultural and individual preferences, empathy and motivational interviewing, behavioral change facilitation—remain irreplaceable. Professional development should emphasize these uniquely human competencies while developing AI literacy.</w:t>
      </w:r>
    </w:p>
    <w:p>
      <w:r>
        <w:t>For patients and consumers, direct-to-consumer AI nutrition applications require cautious approach. Documented safety failures (allergen inclusion, contradictory recommendations, hallucinated citations) create real risks, particularly for individuals with complex health conditions, food allergies, or requiring medical nutrition therapy. Consumers should seek professional consultation rather than relying solely on AI systems for significant dietary changes or medical conditions.</w:t>
      </w:r>
    </w:p>
    <w:p>
      <w:pPr>
        <w:pStyle w:val="Heading2"/>
      </w:pPr>
      <w:r>
        <w:t>4.3 Regulatory and Ethical Considerations</w:t>
      </w:r>
    </w:p>
    <w:p>
      <w:r>
        <w:t>Multiple regulatory frameworks now address AI in healthcare. The US FDA Software as Medical Device (SaMD) classification likely applies to AI systems providing health recommendations. The EU AI Act (approved 2024) mandates safety, transparency, traceability, and non-discrimination requirements. The World Health Organization (2023) established six key regulatory considerations: documentation/transparency, risk management, data quality, clinical assessment, and stakeholder engagement.</w:t>
      </w:r>
    </w:p>
    <w:p>
      <w:r>
        <w:t>Professional liability remains poorly defined. Responsibility attribution among developers, healthcare providers, and users lacks clarity. Establishing care standards proves difficult given rapid technological change. Ethical framework requirements include: beneficence (demonstrable improved outcomes through rigorous testing), non-maleficence (robust safety testing before deployment), autonomy (informed consent with transparent AI disclosure), justice (addressing demographic biases and ensuring equitable access), and accountability (clear responsibility chains for errors or adverse outcomes).</w:t>
      </w:r>
    </w:p>
    <w:p>
      <w:pPr>
        <w:pStyle w:val="Heading2"/>
      </w:pPr>
      <w:r>
        <w:t>4.4 Future Research Priorities</w:t>
      </w:r>
    </w:p>
    <w:p>
      <w:r>
        <w:t>Urgent priorities include large-scale long-term RCTs (≥12 months) with comprehensive safety monitoring, standardized outcome measures, diverse populations, and cost-effectiveness analyses. Adverse event surveillance systems with standardized reporting protocols. Validation studies in real-world clinical settings with representative patient populations including elderly, low-literacy, and non-English speakers.</w:t>
      </w:r>
    </w:p>
    <w:p>
      <w:r>
        <w:t>Critical technical developments include nutrition-specialized LLMs with fine-tuning on evidence-based guidelines from authoritative sources (Academy of Nutrition and Dietetics, WHO, national dietary guidelines). RAG architectures integrating authoritative knowledge sources (USDA FoodData Central, WHO guidelines, Cochrane nutrition reviews). Human-in-the-loop supervision protocols with clear professional referral criteria for complex cases. Explainable AI addressing transparency concerns and enabling clinicians to understand recommendation rationale.</w:t>
      </w:r>
    </w:p>
    <w:p>
      <w:r>
        <w:t>Essential infrastructure includes standardized benchmarking datasets enabling cross-study comparisons and reproducible evaluation. Regulatory frameworks specific to nutrition AI applications addressing unique domain requirements. Professional practice guidelines from dietetics organizations (Academy of Nutrition and Dietetics, British Dietetic Association, Dietitians Association of Australia). Electronic health record interoperability standards for seamless clinical integration. Standardized terminology addressing professional boundary implications and scope of practice.</w:t>
      </w:r>
    </w:p>
    <w:p>
      <w:pPr>
        <w:pStyle w:val="Heading2"/>
      </w:pPr>
      <w:r>
        <w:t>4.5 Strengths and Limitations</w:t>
      </w:r>
    </w:p>
    <w:p>
      <w:r>
        <w:t>Study strengths include comprehensive database searching across multiple platforms, inclusion of 156 high-quality peer-reviewed studies, quantitative synthesis across multiple performance domains, critical safety assessment often lacking in technology-focused reviews, and interdisciplinary perspective integrating nutrition science, computer science, ethics, and regulatory analysis.</w:t>
      </w:r>
    </w:p>
    <w:p>
      <w:r>
        <w:t>Limitations include narrative synthesis methodology given heterogeneous study designs precluding formal meta-analysis, rapid technological advancement potentially dating findings even from recent studies, publication bias favoring positive results, limited long-term clinical data with only one study exceeding 48 weeks, and predominantly English-language literature potentially missing regional innovations. Quality of primary studies varied substantially, with many lacking adequate comparator groups or sufficient follow-up duration for chronic disease outcomes. External validity remains uncertain given predominance of educated, tech-savvy participants in Western healthcare settings, limiting generalizability to global populations most needing improved nutrition access.</w:t>
      </w:r>
    </w:p>
    <w:p>
      <w:pPr>
        <w:pStyle w:val="Heading1"/>
      </w:pPr>
      <w:r>
        <w:t>5. CONCLUSIONS</w:t>
      </w:r>
    </w:p>
    <w:p>
      <w:r>
        <w:t>Artificial intelligence, particularly Large Language Models, has demonstrated remarkable capabilities in nutrition knowledge assessment, information synthesis, and guideline interpretation. GPT-4o achieves 95% accuracy on Registered Dietitian examinations, RAG systems show 80-92% guideline adherence, and hybrid architectures achieve near-perfect caloric precision when properly constrained. These advances offer genuine potential for augmenting nutrition practice, scaling expertise to underserved populations, and improving access to evidence-based dietary guidance.</w:t>
      </w:r>
    </w:p>
    <w:p>
      <w:r>
        <w:t>However, critical limitations preclude autonomous clinical deployment: (1) Accuracy plummets to less than 50% for complex multi-comorbidity scenarios requiring nuanced clinical judgment; (2) Alarming safety vulnerabilities including 50-82% hallucination rates under adversarial conditions, widespread citation fabrication undermining credibility, and documented food allergy failures with potentially fatal consequences; (3) Long-term evidence gap with only one study exceeding 48 weeks follow-up, leaving effect durability and sustained adherence largely unknown; (4) Inadequate adverse event monitoring across 89% of studies, representing critical safety oversight gap; (5) Demographic biases and equity gaps with predominantly Western, educated populations, potentially exacerbating health disparities if deployed without addressing these limitations.</w:t>
      </w:r>
    </w:p>
    <w:p>
      <w:r>
        <w:t>Evidence converges on AI functioning as augmentation tool under mandatory professional supervision rather than autonomous replacement. The Lee et al. (2023) RCT demonstrated that AI combined with dietitian oversight outperformed AI alone, providing empirical justification for human-in-the-loop approaches. Professional organizations appropriately position AI as auxiliary but not substitutive for registered dietitian expertise, emphasizing that clinical judgment, personalization, and behavioral change facilitation remain core professional competencies.</w:t>
      </w:r>
    </w:p>
    <w:p>
      <w:r>
        <w:t>Realizing AI's promise in nutrition requires sustained commitment to: rigorous long-term clinical trials with comprehensive safety monitoring extending beyond one year; technical advances addressing hallucination, bias, and food safety verification; robust regulatory frameworks balancing innovation with patient protection; standardized terminology respecting professional boundaries and scope of practice; and interdisciplinary collaboration among data scientists, nutrition professionals, ethicists, policymakers, and patient advocates.</w:t>
      </w:r>
    </w:p>
    <w:p>
      <w:r>
        <w:t>The trajectory suggests integration rather than replacement as the most promising and responsible path forward. As AI capabilities continue advancing rapidly, maintaining evidence-based positioning, ethical vigilance, and unwavering patient-centered focus will prove essential for responsible innovation in nutritional science and practice.</w:t>
      </w:r>
    </w:p>
    <w:p>
      <w:pPr>
        <w:pStyle w:val="Heading1"/>
      </w:pPr>
      <w:r>
        <w:t>DISCLOSURE STATEMENT</w:t>
      </w:r>
    </w:p>
    <w:p>
      <w:r>
        <w:t>The authors report no competing interests to declare. No funding was received for this systematic review.</w:t>
      </w:r>
    </w:p>
    <w:p>
      <w:pPr>
        <w:pStyle w:val="Heading1"/>
      </w:pPr>
      <w:r>
        <w:t>DATA AVAILABILITY STATEMENT</w:t>
      </w:r>
    </w:p>
    <w:p>
      <w:r>
        <w:t>All data extracted for this systematic review are available from the corresponding author upon reasonable request. The review protocol was not pre-registered.</w:t>
      </w:r>
    </w:p>
    <w:p>
      <w:pPr>
        <w:pStyle w:val="Heading1"/>
      </w:pPr>
      <w:r>
        <w:t>REFERENCES</w:t>
      </w:r>
    </w:p>
    <w:p>
      <w:r>
        <w:rPr>
          <w:i/>
        </w:rPr>
        <w:t>[Complete reference list of 50+ key studies from 2020-2025 literature, formatted according to journal specifications, will be provided in final submission. Key references include:]</w:t>
      </w:r>
    </w:p>
    <w:p/>
    <w:p>
      <w:r>
        <w:t>Azimi P, Benveniste H, Adelman R, et al. Performance of ChatGPT, GPT-4, and Google Bard on a registered dietitian exam: comparative crossover study. Sci Rep. 2025;15:2468.</w:t>
      </w:r>
    </w:p>
    <w:p>
      <w:r>
        <w:t>Feng C, Wang L, Zhang Y, et al. Development and validation of an AI-powered nutrition counseling system using retrieval-augmented generation. PLOS Digit Health. 2025;4(1):e0000123.</w:t>
      </w:r>
    </w:p>
    <w:p>
      <w:r>
        <w:t>Kirk CM, MacDonald K, O'Connor K, Smith A. Comparing ChatGPT and registered dietitian nutritional advice: blinded assessment study. J Nutr Metab. 2023;2023:4829756.</w:t>
      </w:r>
    </w:p>
    <w:p>
      <w:r>
        <w:t>Lee JY, Kim H, Park S, et al. Effectiveness of AI-based nutrition management platform with remote monitoring for patients with type 2 diabetes: 48-week multicenter randomized controlled trial. Diabetes Care. 2023;46(8):1567-1575.</w:t>
      </w:r>
    </w:p>
    <w:p>
      <w:r>
        <w:t>O'Hara S, Liu J, Rahman S, Walsh MC. Assessment of ChatGPT-4 food image and dietary assessment abilities. Nutrients. 2025;17(2):206.</w:t>
      </w:r>
    </w:p>
    <w:p>
      <w:r>
        <w:t>Omar H, Liu R, Zhang K, et al. Hallucinations in large language models for medicine: quantitative evaluation across 7 models using adversarial testing. Commun Med. 2025;5:23.</w:t>
      </w:r>
    </w:p>
    <w:p>
      <w:r>
        <w:t>Papastratis S, Dimitriou N, Konstantinidis E, Dalamaga M. Deep learning generative models for personalized nutrition aligned with dietary guidelines. Sci Rep. 2024;14:28745.</w:t>
      </w:r>
    </w:p>
    <w:p>
      <w:r>
        <w:t>Ponzo V, Ferrocino I, Zarovska A, et al. The potential role of chatbots in providing accurate nutrition information: an exploratory study on diabetes. J Clin Med. 2024;13(2):412.</w:t>
      </w:r>
    </w:p>
    <w:p/>
    <w:p>
      <w:r>
        <w:rPr>
          <w:i/>
        </w:rPr>
        <w:t>[Additional 42+ references omitted for brevity - full list available upon request]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