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File S3: Complete Search Strategy</w:t>
      </w:r>
    </w:p>
    <w:p/>
    <w:p>
      <w:r>
        <w:t>Large Language Models in Clinical Nutrition: A Scoping Review of Performance, Safety, and Implementation</w:t>
      </w:r>
    </w:p>
    <w:p/>
    <w:p>
      <w:r>
        <w:t>This file documents the complete electronic search strategy used for this scoping review, including databases searched, date limits, and where to find the full search strings.</w:t>
      </w:r>
    </w:p>
    <w:p/>
    <w:p>
      <w:pPr>
        <w:pStyle w:val="Heading2"/>
      </w:pPr>
      <w:r>
        <w:t>Databases and Coverage</w:t>
      </w:r>
    </w:p>
    <w:p/>
    <w:p>
      <w:r>
        <w:t>We searched the following sources for records published between January 1, 2020 and September 30, 2025; a bridge search updated the evidence base through December 22, 2025:</w:t>
      </w:r>
    </w:p>
    <w:p/>
    <w:p>
      <w:pPr>
        <w:pStyle w:val="ListBullet"/>
      </w:pPr>
      <w:r>
        <w:t>PubMed/MEDLINE</w:t>
      </w:r>
    </w:p>
    <w:p>
      <w:pPr>
        <w:pStyle w:val="ListBullet"/>
      </w:pPr>
      <w:r>
        <w:t>Web of Science Core Collection</w:t>
      </w:r>
    </w:p>
    <w:p>
      <w:pPr>
        <w:pStyle w:val="ListBullet"/>
      </w:pPr>
      <w:r>
        <w:t>Scopus</w:t>
      </w:r>
    </w:p>
    <w:p>
      <w:pPr>
        <w:pStyle w:val="ListBullet"/>
      </w:pPr>
      <w:r>
        <w:t>IEEE Xplore</w:t>
      </w:r>
    </w:p>
    <w:p>
      <w:pPr>
        <w:pStyle w:val="ListBullet"/>
      </w:pPr>
      <w:r>
        <w:t>ACM Digital Library</w:t>
      </w:r>
    </w:p>
    <w:p>
      <w:pPr>
        <w:pStyle w:val="ListBullet"/>
      </w:pPr>
      <w:r>
        <w:t>Google Scholar</w:t>
      </w:r>
    </w:p>
    <w:p/>
    <w:p>
      <w:r>
        <w:t>Language restriction: English.</w:t>
      </w:r>
    </w:p>
    <w:p/>
    <w:p>
      <w:pPr>
        <w:pStyle w:val="Heading2"/>
      </w:pPr>
      <w:r>
        <w:t>Full Search Strings (All Queries)</w:t>
      </w:r>
    </w:p>
    <w:p/>
    <w:p>
      <w:r>
        <w:t>All 65 database-specific Boolean queries (exact strings, with limits and notes) are provided in:</w:t>
      </w:r>
    </w:p>
    <w:p/>
    <w:p>
      <w:pPr>
        <w:pStyle w:val="ListBullet"/>
      </w:pPr>
      <w:r>
        <w:t>Supplementary_File_S3_Search_Strings.xlsx</w:t>
      </w:r>
    </w:p>
    <w:p/>
    <w:p>
      <w:r>
        <w:t>Bridge search (Oct-Dec 2025): database updates and supplementary screening were performed to capture late-2025 publications, yielding four additional included sources.</w:t>
      </w:r>
    </w:p>
    <w:p>
      <w:pPr>
        <w:pStyle w:val="Heading2"/>
      </w:pPr>
      <w:r>
        <w:t>Search Output Summary (PRISMA)</w:t>
      </w:r>
    </w:p>
    <w:p/>
    <w:p>
      <w:r>
        <w:t>Across databases, the combined export contained 8,247 records prior to deduplication. After deduplication (2,415 duplicates removed), 5,832 unique records were screened by title/abstract, and 5,520 were excluded. Full-text assessment was conducted for 312 reports; 259 were excluded at full text, and 53 sources met eligibility criteria and were included in the scoping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