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Table S3. Ethical Frameworks for AI in Clinical Nutrition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Ethical Domain</w:t>
            </w:r>
          </w:p>
        </w:tc>
        <w:tc>
          <w:tcPr>
            <w:tcW w:type="dxa" w:w="2160"/>
          </w:tcPr>
          <w:p>
            <w:r>
              <w:t>Key Concern</w:t>
            </w:r>
          </w:p>
        </w:tc>
        <w:tc>
          <w:tcPr>
            <w:tcW w:type="dxa" w:w="2160"/>
          </w:tcPr>
          <w:p>
            <w:r>
              <w:t>Implementation Strategy</w:t>
            </w:r>
          </w:p>
        </w:tc>
        <w:tc>
          <w:tcPr>
            <w:tcW w:type="dxa" w:w="2160"/>
          </w:tcPr>
          <w:p>
            <w:r>
              <w:t>Regulatory Reference</w:t>
            </w:r>
          </w:p>
        </w:tc>
      </w:tr>
      <w:tr>
        <w:tc>
          <w:tcPr>
            <w:tcW w:type="dxa" w:w="2160"/>
          </w:tcPr>
          <w:p>
            <w:r>
              <w:t>Bias and Fairness</w:t>
            </w:r>
          </w:p>
        </w:tc>
        <w:tc>
          <w:tcPr>
            <w:tcW w:type="dxa" w:w="2160"/>
          </w:tcPr>
          <w:p>
            <w:r>
              <w:t>Algorithmic perpetuation of racial, gender, and socioeconomic health disparities (e.g., Obermeyer et al., 2019)</w:t>
            </w:r>
          </w:p>
        </w:tc>
        <w:tc>
          <w:tcPr>
            <w:tcW w:type="dxa" w:w="2160"/>
          </w:tcPr>
          <w:p>
            <w:r>
              <w:t>Diverse Training Data: Enforce inclusion of underrepresented datasets.</w:t>
              <w:br/>
              <w:t>Bias Auditing: Regular audits for disparate impact across demographic subgroups.</w:t>
              <w:br/>
              <w:t>Cultural Adaptation: Fine-tuning models on regional dietary patterns.</w:t>
            </w:r>
          </w:p>
        </w:tc>
        <w:tc>
          <w:tcPr>
            <w:tcW w:type="dxa" w:w="2160"/>
          </w:tcPr>
          <w:p>
            <w:r>
              <w:t>EU AI Act: Requirements for high-risk AI systems regarding data governance (Article 10).</w:t>
              <w:br/>
              <w:t>WHO Guidance: "Protecting human autonomy" and "Ensuring equity."</w:t>
            </w:r>
          </w:p>
        </w:tc>
      </w:tr>
      <w:tr>
        <w:tc>
          <w:tcPr>
            <w:tcW w:type="dxa" w:w="2160"/>
          </w:tcPr>
          <w:p>
            <w:r>
              <w:t>Transparency and Explainability</w:t>
            </w:r>
          </w:p>
        </w:tc>
        <w:tc>
          <w:tcPr>
            <w:tcW w:type="dxa" w:w="2160"/>
          </w:tcPr>
          <w:p>
            <w:r>
              <w:t>"Black box" nature of deep learning models obscuring the rationale behind dietary recommendations.</w:t>
            </w:r>
          </w:p>
        </w:tc>
        <w:tc>
          <w:tcPr>
            <w:tcW w:type="dxa" w:w="2160"/>
          </w:tcPr>
          <w:p>
            <w:r>
              <w:t>Explainable AI (XAI): Implement local interpretable model-agnostic explanations (LIME) or SHAP values.</w:t>
              <w:br/>
              <w:t>Source Attribution: RAG systems citing specific guidelines for every claim.</w:t>
              <w:br/>
              <w:t>Confidence Scoring: Displaying uncertainty metrics for generated advice.</w:t>
            </w:r>
          </w:p>
        </w:tc>
        <w:tc>
          <w:tcPr>
            <w:tcW w:type="dxa" w:w="2160"/>
          </w:tcPr>
          <w:p>
            <w:r>
              <w:t>FDA SaMD: Transparency requirements for clinical decision support software.</w:t>
              <w:br/>
              <w:t>GDPR: Right to explanation (Articles 13-15).</w:t>
            </w:r>
          </w:p>
        </w:tc>
      </w:tr>
      <w:tr>
        <w:tc>
          <w:tcPr>
            <w:tcW w:type="dxa" w:w="2160"/>
          </w:tcPr>
          <w:p>
            <w:r>
              <w:t>Privacy and Data Security</w:t>
            </w:r>
          </w:p>
        </w:tc>
        <w:tc>
          <w:tcPr>
            <w:tcW w:type="dxa" w:w="2160"/>
          </w:tcPr>
          <w:p>
            <w:r>
              <w:t>Handling sensitive patient health data (PHI) in cloud-based model inference.</w:t>
            </w:r>
          </w:p>
        </w:tc>
        <w:tc>
          <w:tcPr>
            <w:tcW w:type="dxa" w:w="2160"/>
          </w:tcPr>
          <w:p>
            <w:r>
              <w:t>Local Inference: Deployment of quantized models on edge devices (privacy-first).</w:t>
              <w:br/>
              <w:t>De-identification: Robust anonymization protocols before cloud processing.</w:t>
              <w:br/>
              <w:t>Federated Learning: Training across decentralized institutions without sharing raw data.</w:t>
            </w:r>
          </w:p>
        </w:tc>
        <w:tc>
          <w:tcPr>
            <w:tcW w:type="dxa" w:w="2160"/>
          </w:tcPr>
          <w:p>
            <w:r>
              <w:t>HIPAA: Protected Health Information standards.</w:t>
              <w:br/>
              <w:t>GDPR: General Data Protection Regulation requirements.</w:t>
            </w:r>
          </w:p>
        </w:tc>
      </w:tr>
      <w:tr>
        <w:tc>
          <w:tcPr>
            <w:tcW w:type="dxa" w:w="2160"/>
          </w:tcPr>
          <w:p>
            <w:r>
              <w:t>Accountability and Liability</w:t>
            </w:r>
          </w:p>
        </w:tc>
        <w:tc>
          <w:tcPr>
            <w:tcW w:type="dxa" w:w="2160"/>
          </w:tcPr>
          <w:p>
            <w:r>
              <w:t>Unclear legal liability for adverse outcomes resulting from AI errors (hallucinations).</w:t>
            </w:r>
          </w:p>
        </w:tc>
        <w:tc>
          <w:tcPr>
            <w:tcW w:type="dxa" w:w="2160"/>
          </w:tcPr>
          <w:p>
            <w:r>
              <w:t>Human-in-the-Loop (HITL): Mandatory dietitian review for high-stakes recommendations.</w:t>
              <w:br/>
              <w:t>Liability Disclaimers: Explicit statements that AI provides information, not medical advice.</w:t>
              <w:br/>
              <w:t>Insurance Models: Developing malpractice frameworks covering AI usage.</w:t>
            </w:r>
          </w:p>
        </w:tc>
        <w:tc>
          <w:tcPr>
            <w:tcW w:type="dxa" w:w="2160"/>
          </w:tcPr>
          <w:p>
            <w:r>
              <w:t>EU AI Act: Accountability framework for providers and users.</w:t>
              <w:br/>
              <w:t>Tort Law: Emerging precedents on software liability.</w:t>
            </w:r>
          </w:p>
        </w:tc>
      </w:tr>
      <w:tr>
        <w:tc>
          <w:tcPr>
            <w:tcW w:type="dxa" w:w="2160"/>
          </w:tcPr>
          <w:p>
            <w:r>
              <w:t>Clinical Safety</w:t>
            </w:r>
          </w:p>
        </w:tc>
        <w:tc>
          <w:tcPr>
            <w:tcW w:type="dxa" w:w="2160"/>
          </w:tcPr>
          <w:p>
            <w:r>
              <w:t>Risk of potentially fatal advice (e.g., allergen errors) or encouraging eating disorders.</w:t>
            </w:r>
          </w:p>
        </w:tc>
        <w:tc>
          <w:tcPr>
            <w:tcW w:type="dxa" w:w="2160"/>
          </w:tcPr>
          <w:p>
            <w:r>
              <w:t>Red Teaming: Adversarial testing for dangerous outputs before deployment.</w:t>
              <w:br/>
              <w:t>Guardrails: Hard-coded rules blocking generation of advice on severe medical conditions (e.g., anorexia).</w:t>
              <w:br/>
              <w:t>Monitoring: Post-market surveillance of adverse events.</w:t>
            </w:r>
          </w:p>
        </w:tc>
        <w:tc>
          <w:tcPr>
            <w:tcW w:type="dxa" w:w="2160"/>
          </w:tcPr>
          <w:p>
            <w:r>
              <w:t>FDA: Post-market surveillance requirements.</w:t>
              <w:br/>
              <w:t>ISO/IEC 42001: AI Management System standards.</w:t>
            </w:r>
          </w:p>
        </w:tc>
      </w:tr>
      <w:tr>
        <w:tc>
          <w:tcPr>
            <w:tcW w:type="dxa" w:w="2160"/>
          </w:tcPr>
          <w:p>
            <w:r>
              <w:t>Sustainability</w:t>
            </w:r>
          </w:p>
        </w:tc>
        <w:tc>
          <w:tcPr>
            <w:tcW w:type="dxa" w:w="2160"/>
          </w:tcPr>
          <w:p>
            <w:r>
              <w:t>Environmental impact of training large models versus health benefits.</w:t>
            </w:r>
          </w:p>
        </w:tc>
        <w:tc>
          <w:tcPr>
            <w:tcW w:type="dxa" w:w="2160"/>
          </w:tcPr>
          <w:p>
            <w:r>
              <w:t>Efficient Architectures: Prioritizing "Small Language Models" (SLMs) for specific tasks.</w:t>
              <w:br/>
              <w:t>Green AI: Reporting carbon footprint of model training and inference.</w:t>
            </w:r>
          </w:p>
        </w:tc>
        <w:tc>
          <w:tcPr>
            <w:tcW w:type="dxa" w:w="2160"/>
          </w:tcPr>
          <w:p>
            <w:r>
              <w:t>EU AI Act: Environmental reporting obligations for general-purpose AI models.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