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 xml:space="preserve">[지능정보기술가이드]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KS X ISO/IEC 20000-1·2·3(IT 서비스관리) — [지능정보기술가이드] Ⅲ장 OP-IF 계열 검토항목의 「참고 자료」 및 [붙임] 관련 지침·표준·가이드 목록에 IT 서비스관리 참고표준으로 수록</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w:t>
            </w:r>
            <w:r w:rsidRPr="00CF01BA">
              <w:rPr>
                <w:sz w:val="22"/>
                <w:szCs w:val="22"/>
                <w:lang w:eastAsia="ko-KR"/>
              </w:rPr>
              <w:lastRenderedPageBreak/>
              <w:t>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w:t>
            </w:r>
            <w:r w:rsidRPr="00CF01BA">
              <w:rPr>
                <w:sz w:val="22"/>
                <w:szCs w:val="22"/>
                <w:lang w:eastAsia="ko-KR"/>
              </w:rPr>
              <w:lastRenderedPageBreak/>
              <w:t>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 xml:space="preserve">전환 및 </w:t>
            </w:r>
            <w:r w:rsidRPr="0036780C">
              <w:rPr>
                <w:rFonts w:ascii="바탕체" w:hAnsi="바탕체" w:cs="굴림"/>
                <w:sz w:val="22"/>
                <w:szCs w:val="20"/>
              </w:rPr>
              <w:lastRenderedPageBreak/>
              <w:t>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OP-IF-11[구성 관리] — 구성항목의 식별·통제·상태 기록관리를 별도 감리 점검영역으로 제시</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KS X ISO/IEC 20000-1·2·3(IT 서비스관리) — [지능정보기술가이드] Ⅲ장 OP-IF 계열 검토항목의 「참고 자료」 및 [붙임] 관련 지침·표준·가이드 목록에 IT 서비스관리 참고표준으로 수록</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w:t>
            </w:r>
            <w:r w:rsidRPr="00CF01BA">
              <w:rPr>
                <w:sz w:val="22"/>
                <w:szCs w:val="22"/>
                <w:lang w:eastAsia="ko-KR"/>
              </w:rPr>
              <w:lastRenderedPageBreak/>
              <w:t>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 22301(비즈니스연속성관리) — RPO(복구시점목표, 중단 발생 시 수용 가능한 최대 데이터 손실 범위) 등 업무연속성 목표 설정의 국제표준 개념</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TTAS.KO-10.0259 「정보시스템 재해복구지침」 — [지능정보기술가이드] Ⅲ장 [붙임] 관련 지침·표준·가이드 목록에 수록된 정보통신단체표준(표준번호·표준명 확인)</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OP-IF-06[정보보안관리] — 접근통제·보안설정·보안이벤트 기록 등 운영단계 정보보안 관리활동을 점검영역으로 제시</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 22301(비즈니스연속성관리) — RPO(복구시점목표, 중단 발생 시 수용 가능한 최대 데이터 손실 범위) 등 업무연속성 목표 설정의 국제표준 개념</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MA-IF-01[OS 설치 및 업그레이드], MA-IF-04[예방점검] — OS 설치·기동 상태 확인과 정기·일상·비정기 예방점검을 점검영역으로 제시</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한국정보통신기술협회가 정한 규모산정 지침을 준용하도록 규정한 정보통신단체표준</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OP-IF-13[운영상태관리] — 운영 상태 데이터와 비정상 상태 데이터를 포함한 운영상태관리 기록의 작성·관리를 점검영역으로 제시</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OP-IF-08[공급자 관리] — 공급자 유형별 프로세스 수립·이행 및 서비스 종료·이관 시 영향도 분석을 점검영역으로 제시</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KS X ISO/IEC 20000-1·2·3(IT 서비스관리) — [지능정보기술가이드] Ⅲ장 OP-IF 계열 검토항목의 「참고 자료」 및 [붙임] 관련 지침·표준·가이드 목록에 IT 서비스관리 참고표준으로 수록</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OP-IF-10[문제 관리] — 반복·미해결 이슈를 문제로 등록하여 근본원인 분석·추적관리하도록 하는 점검영역</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w:t>
            </w:r>
            <w:r w:rsidRPr="00CF01BA">
              <w:rPr>
                <w:sz w:val="22"/>
                <w:szCs w:val="22"/>
                <w:lang w:eastAsia="ko-KR"/>
              </w:rPr>
              <w:lastRenderedPageBreak/>
              <w:t>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w:t>
            </w:r>
            <w:r w:rsidRPr="00CF01BA">
              <w:rPr>
                <w:sz w:val="22"/>
                <w:szCs w:val="22"/>
                <w:lang w:eastAsia="ko-KR"/>
              </w:rPr>
              <w:lastRenderedPageBreak/>
              <w:t>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w:t>
            </w:r>
            <w:r w:rsidRPr="00CF01BA">
              <w:rPr>
                <w:sz w:val="22"/>
                <w:szCs w:val="22"/>
                <w:lang w:eastAsia="ko-KR"/>
              </w:rPr>
              <w:lastRenderedPageBreak/>
              <w:t>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w:t>
            </w:r>
            <w:r w:rsidRPr="00CF01BA">
              <w:rPr>
                <w:sz w:val="22"/>
                <w:szCs w:val="22"/>
                <w:lang w:eastAsia="ko-KR"/>
              </w:rPr>
              <w:lastRenderedPageBreak/>
              <w:t>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w:t>
            </w:r>
            <w:r w:rsidRPr="00CF01BA">
              <w:rPr>
                <w:sz w:val="22"/>
                <w:szCs w:val="22"/>
                <w:lang w:eastAsia="ko-KR"/>
              </w:rPr>
              <w:lastRenderedPageBreak/>
              <w:t>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w:t>
            </w:r>
            <w:r w:rsidRPr="00CF01BA">
              <w:rPr>
                <w:sz w:val="22"/>
                <w:szCs w:val="22"/>
                <w:lang w:eastAsia="ko-KR"/>
              </w:rPr>
              <w:lastRenderedPageBreak/>
              <w:t>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w:t>
            </w:r>
            <w:r w:rsidRPr="00CF01BA">
              <w:rPr>
                <w:sz w:val="22"/>
                <w:szCs w:val="22"/>
                <w:lang w:eastAsia="ko-KR"/>
              </w:rPr>
              <w:lastRenderedPageBreak/>
              <w:t>“Conduct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w:t>
            </w:r>
            <w:r w:rsidRPr="00CF01BA">
              <w:rPr>
                <w:sz w:val="22"/>
                <w:szCs w:val="22"/>
                <w:lang w:eastAsia="ko-KR"/>
              </w:rPr>
              <w:lastRenderedPageBreak/>
              <w:t>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w:t>
            </w:r>
            <w:r w:rsidRPr="00CF01BA">
              <w:rPr>
                <w:sz w:val="22"/>
                <w:szCs w:val="22"/>
                <w:lang w:eastAsia="ko-KR"/>
              </w:rPr>
              <w:lastRenderedPageBreak/>
              <w:t>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lastRenderedPageBreak/>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w:t>
            </w:r>
            <w:r w:rsidRPr="00CF01BA">
              <w:rPr>
                <w:sz w:val="22"/>
                <w:szCs w:val="22"/>
                <w:lang w:eastAsia="ko-KR"/>
              </w:rPr>
              <w:lastRenderedPageBreak/>
              <w:t>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w:t>
            </w:r>
            <w:r w:rsidRPr="00CF01BA">
              <w:rPr>
                <w:sz w:val="22"/>
                <w:szCs w:val="22"/>
                <w:lang w:eastAsia="ko-KR"/>
              </w:rPr>
              <w:lastRenderedPageBreak/>
              <w:t>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lastRenderedPageBreak/>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w:t>
            </w:r>
            <w:r w:rsidRPr="00CF01BA">
              <w:rPr>
                <w:sz w:val="22"/>
                <w:szCs w:val="22"/>
                <w:lang w:eastAsia="ko-KR"/>
              </w:rPr>
              <w:lastRenderedPageBreak/>
              <w:t>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w:t>
            </w:r>
            <w:r w:rsidRPr="00CF01BA">
              <w:rPr>
                <w:sz w:val="22"/>
                <w:szCs w:val="22"/>
                <w:lang w:eastAsia="ko-KR"/>
              </w:rPr>
              <w:lastRenderedPageBreak/>
              <w:t>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w:t>
            </w:r>
            <w:r w:rsidRPr="00CF01BA">
              <w:rPr>
                <w:sz w:val="22"/>
                <w:szCs w:val="22"/>
                <w:lang w:eastAsia="ko-KR"/>
              </w:rPr>
              <w:lastRenderedPageBreak/>
              <w:t>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w:t>
            </w:r>
            <w:r w:rsidRPr="00CF01BA">
              <w:rPr>
                <w:sz w:val="22"/>
                <w:szCs w:val="22"/>
                <w:lang w:eastAsia="ko-KR"/>
              </w:rPr>
              <w:lastRenderedPageBreak/>
              <w:t>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w:t>
            </w:r>
            <w:r w:rsidRPr="00CF01BA">
              <w:rPr>
                <w:sz w:val="22"/>
                <w:szCs w:val="22"/>
                <w:lang w:eastAsia="ko-KR"/>
              </w:rPr>
              <w:lastRenderedPageBreak/>
              <w:t>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w:t>
            </w:r>
            <w:r w:rsidRPr="00CF01BA">
              <w:rPr>
                <w:sz w:val="22"/>
                <w:szCs w:val="22"/>
                <w:lang w:eastAsia="ko-KR"/>
              </w:rPr>
              <w:lastRenderedPageBreak/>
              <w:t>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w:t>
            </w:r>
            <w:r w:rsidRPr="00CF01BA">
              <w:rPr>
                <w:sz w:val="22"/>
                <w:szCs w:val="22"/>
                <w:lang w:eastAsia="ko-KR"/>
              </w:rPr>
              <w:lastRenderedPageBreak/>
              <w:t>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w:t>
            </w:r>
            <w:r w:rsidRPr="00CF01BA">
              <w:rPr>
                <w:sz w:val="22"/>
                <w:szCs w:val="22"/>
                <w:lang w:eastAsia="ko-KR"/>
              </w:rPr>
              <w:lastRenderedPageBreak/>
              <w:t>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w:t>
            </w:r>
            <w:r w:rsidRPr="00CF01BA">
              <w:rPr>
                <w:sz w:val="22"/>
                <w:szCs w:val="22"/>
                <w:lang w:eastAsia="ko-KR"/>
              </w:rPr>
              <w:lastRenderedPageBreak/>
              <w:t>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w:t>
            </w:r>
            <w:r w:rsidRPr="00CF01BA">
              <w:rPr>
                <w:sz w:val="22"/>
                <w:szCs w:val="22"/>
                <w:lang w:eastAsia="ko-KR"/>
              </w:rPr>
              <w:lastRenderedPageBreak/>
              <w:t>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w:t>
            </w:r>
            <w:r w:rsidRPr="00CF01BA">
              <w:rPr>
                <w:sz w:val="22"/>
                <w:szCs w:val="22"/>
                <w:lang w:eastAsia="ko-KR"/>
              </w:rPr>
              <w:lastRenderedPageBreak/>
              <w:t>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w:t>
            </w:r>
            <w:r w:rsidRPr="00CF01BA">
              <w:rPr>
                <w:sz w:val="22"/>
                <w:szCs w:val="22"/>
                <w:lang w:eastAsia="ko-KR"/>
              </w:rPr>
              <w:lastRenderedPageBreak/>
              <w:t>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6. 접근통제 및 </w:t>
            </w:r>
            <w:r w:rsidRPr="00215F7B">
              <w:rPr>
                <w:rFonts w:ascii="바탕체" w:hAnsi="바탕체" w:cs="굴림"/>
                <w:sz w:val="22"/>
                <w:szCs w:val="20"/>
              </w:rPr>
              <w:lastRenderedPageBreak/>
              <w:t>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M09(AI시스템 로깅·모니터링) — “사용자, 단말, 시스템 등에서 발생하는 AI 입·출력정보, 접근이력 등을 </w:t>
            </w:r>
            <w:r w:rsidRPr="00CF01BA">
              <w:rPr>
                <w:sz w:val="22"/>
                <w:szCs w:val="22"/>
                <w:lang w:eastAsia="ko-KR"/>
              </w:rPr>
              <w:lastRenderedPageBreak/>
              <w:t>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w:t>
            </w:r>
            <w:r w:rsidRPr="00CF01BA">
              <w:rPr>
                <w:sz w:val="22"/>
                <w:szCs w:val="22"/>
                <w:lang w:eastAsia="ko-KR"/>
              </w:rPr>
              <w:lastRenderedPageBreak/>
              <w:t>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제10조① “세부 검사항목별 과업내용 이행여부를 점검”, 제10조② — “사업자는 최종 산출물이 세부항목별로 </w:t>
            </w:r>
            <w:r w:rsidRPr="00CF01BA">
              <w:rPr>
                <w:sz w:val="22"/>
                <w:szCs w:val="22"/>
                <w:lang w:eastAsia="ko-KR"/>
              </w:rPr>
              <w:lastRenderedPageBreak/>
              <w:t>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①②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w:t>
            </w:r>
            <w:r w:rsidRPr="00CF01BA">
              <w:rPr>
                <w:sz w:val="22"/>
                <w:szCs w:val="22"/>
                <w:lang w:eastAsia="ko-KR"/>
              </w:rPr>
              <w:lastRenderedPageBreak/>
              <w:t>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enable the documentation of each instance where content is generated, modified, or shared to provide a tamper-proof history of the content, promote transparency, and enable </w:t>
            </w:r>
            <w:r w:rsidRPr="00CF01BA">
              <w:rPr>
                <w:sz w:val="22"/>
                <w:szCs w:val="22"/>
                <w:lang w:eastAsia="ko-KR"/>
              </w:rPr>
              <w:lastRenderedPageBreak/>
              <w:t>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w:t>
            </w:r>
            <w:r w:rsidRPr="00CF01BA">
              <w:rPr>
                <w:sz w:val="22"/>
                <w:szCs w:val="22"/>
                <w:lang w:eastAsia="ko-KR"/>
              </w:rPr>
              <w:lastRenderedPageBreak/>
              <w:t>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 xml:space="preserve">참고자료 ① — 약칭[ ]으로 인용한 문헌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[지능정보기술가이드] 「지능정보기술 감리 실무가이드」(2023.2) — Ⅱ장이 클라우드(계획수립/서비스활용/전환) 감리를 다룸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[AI기본법] 「인공지능 발전과 신뢰 기반 조성 등에 관한 기본법」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[SW진흥법] 「소프트웨어 진흥법」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[개인정보보호법] 「개인정보 보호법」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[안전성확보조치기준] 「개인정보의 안전성 확보조치 기준」(개인정보보호위원회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[비식별조치가이드라인] 「개인정보 비식별 조치 가이드라인」·「가명정보 처리 가이드라인」(개인정보보호위원회)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[클라우드이용기준고시] 「클라우드컴퓨팅서비스 이용기준」(행정안전부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[사이버보안기본지침] 「국가 사이버보안 기본지침」(국가정보원) — 제3장 제1절 국가망보안체계(N2SF) 조문을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[전자금융감독규정] 「전자금융감독규정」(금융위원회 고시) — 정보화사업 감리 우선문헌은 아니며 데이터 대사(對査) 통제의 참고용으로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[접근권한관리규정] 「행정기관 정보시스템 접근권한 관리 규정」(국무총리훈령) — 제12조(접근권한 부여 원칙)·제15조(접근권한 심사)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[자치단체장애지침] 「자치단체 정보시스템 장애 예방 및 대응 지침」(행정안전부예규, 2017.6.9. 행정자치부예규 제90호로 제정) — 제2조·제4조·제12조·제13조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[DB표준화지침] 「공공기관의 데이터베이스 표준화 지침」(행정안전부고시) — 코드정의서 작성 시 행정표준코드 준수 규정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[직접구매가이드] 「상용소프트웨어 직접구매 가이드」 — 「소프트웨어 진흥법」 제2조의 상용소프트웨어 정의 및 직접구매(구 분리발주) 제도 안내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[감리기준] 「정보시스템 감리기준」(행정안전부 고시) — 본문 인용은 [수행가이드]에 수록된 조문 원문을 기준으로 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[IT아웃소싱매뉴얼] 「IT 아웃소싱 운영관리 매뉴얼」V2.0(소프트웨어 운영 및 유지보수 중심, 2011.7)</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[AI보안가이드북] 「국가·공공기관 AI보안 가이드북」(2025.12.10) — AI 보안위협(T01~T15)·보안대책(M01~M30) 및 에이전틱 AI 위협(A01~)·대책(A-M01~)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[AI보안위협대응매뉴얼] 「AI 보안 위협 대응 매뉴얼」 — 위협 분류(데이터/모델/에이전트/공급망/고성능 모델), 계층별 보안 요구사항, 부록의 위협별 평가기준·진단방법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[AI데이터품질가이드1권] 「AI 데이터 품질관리 가이드」제1권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[AI데이터가이드2권] 「AI 데이터 구축 가이드」제2권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[생성형AI데이터품질가이드3권] 「생성형AI 데이터 품질관리 가이드」제3권 v2.0(한국지능정보사회진흥원, 2025.2 발행)</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[이용자보호가이드라인] 「생성형 인공지능 서비스 이용자 보호 가이드라인」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[AI윤리기준] 「사람중심의 인공지능 윤리기준」(과학기술정보통신부, 2020.12) — 3대 기본원칙·10대 핵심요건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[NIST AI 600-1] NIST “Artificial Intelligence Risk Management Framework: Generative Artificial Intelligence Profile”(NIST AI 600-1, 2024.7) — GOVERN/MAP/MEASURE/MANAGE 기능별 권고조치(Action ID)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[ISO42001] ISO/IEC 42001:2023(인공지능 경영시스템)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[ISO23053] ISO/IEC 23053:2022(기계학습 기반 AI 시스템 프레임워크)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[ISO23894] ISO/IEC 23894:2023(인공지능 위험관리)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[ISMS-P] 「정보보호 및 개인정보보호 관리체계(ISMS-P) 인증기준」</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[MS RAG 개발문서] Microsoft Learn “Build Advanced Retrieval-Augmented Generation Systems”(learn.microsoft.com/azure/developer/ai/advanced-retrieval-augmented-generation) — 적재(Ingestion)·추론(Inference pipeline)·평가(Evaluation) 3단계 설계지침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[MCP 공식 스펙] Model Context Protocol 「Security Best Practices」·「Authorization」(modelcontextprotocol.io/specification) — 토큰 패스스루 금지, 스코프 최소화, 세션 하이재킹·SSRF 대응 등</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김범석·양진홍, “RAG 시스템 성능 평가를 위한 자동 데이터 셋 생성 프레임워크 비교 분석 연구”, 한국정보전자통신기술학회논문지 18(2), 2025, pp.143-154(DOI 10.17661/jkiiect.2025.18.2.143)</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“검색 성능과 생성 성능 간 정렬성을 고려한 검색 증강 생성 벤치마크 데이터셋”, 정보과학회 컴퓨팅의 실제 논문지(KIISE Transactions on Computing Practices) 32(4), 2026, pp.149-155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 「국가 사이버보안 기본지침」은 [지능정보기술가이드](2023.2) 등 일부 문헌에서 구 명칭인 「국가 정보보안 기본지침」으로 인용되어 있음</w:t>
            </w:r>
          </w:p>
        </w:tc>
      </w:tr>
    </w:tbl>
    <w:p w14:paraId="4335E8FE" w14:textId="77777777" w:rsidR="00401746" w:rsidRDefault="00401746" w:rsidP="00401746">
      <w:pPr>
        <w:jc w:val="cente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 xml:space="preserve">참고자료 ② — 정식명칭을 그대로 표기한 문헌</w:t>
            </w:r>
          </w:p>
          <w:p w14:paraId="4335E8FE" w14:textId="77777777" w:rsidR="00401746" w:rsidRDefault="00401746" w:rsidP="00401746">
            <w:pPr>
              <w:jc w:val="center"/>
              <w:rPr>
                <w:rFonts w:ascii="바탕체" w:hAnsi="바탕체"/>
                <w:sz w:val="22"/>
              </w:rPr>
            </w:pP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「사이버안보 업무규정」(대통령령) — [사이버보안기본지침]이 인용하는 상위 법령(3단계 보안관제체계)</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「공공데이터 품질관리 매뉴얼」(행정안전부·한국지능정보사회진흥원, data.go.kr) — 완전성·일관성·정확성·유효성·보안성·적시성·유용성 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 22301(비즈니스연속성관리) — RPO(복구시점목표) 등 연속성 관리 개념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구성 요구사항</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25012(데이터 품질모델) — 일관성(Consistency) 등 데이터 품질 특성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ANSI/INCITS 359(RBAC) — 역할기반 접근통제 참조모델(Core/Hierarchical/Constraint RBAC)</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19770-1:2017·19770-3:2016(소프트웨어 자산관리) — CPU/Core/사용자 수 등 라이선스 산정단위 관리의 개념적 근거</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KS X ISO/IEC 20000-1·2·3(IT 서비스관리) — [지능정보기술가이드] Ⅲ장 및 [IT아웃소싱매뉴얼]이 참고표준으로 제시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A2A(Agent2Agent) 프로토콜 공식 스펙(a2a-protocol.org) — 에이전트 간 통신 규약</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Reliability Pillar(2024.11.6판, docs.aws.amazon.com/wellarchitected/latest/reliability-pillar/) — 단일 장애점 제거·복구 목표(RTO/RPO) 등 신뢰성 설계원칙</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Database Migration Service(AWS DMS) 공식 문서 — Best practices(원천 DB 부하 저감, 대상 DB 병목 제거, CDC 지연 요인), CDC 지연 지표(CDCLatencySource/CDCLatencyTarget)</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Oracle GoldenGate 공식 문서(docs.oracle.com/en/middleware/goldengate) — 복제 지연 임계값(LAGCRITICALSECONDS 등) 설정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Debezium 공식 문서(debezium.io/documentation) — CDC의 at-least-once 전달 보장 및 소비자 멱등성 요구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LangChain·LlamaIndex 공식 문서 — RecursiveCharacterTextSplitter/SemanticSplitterNodeParser(청킹), EnsembleRetriever/QueryFusionRetriever(하이브리드 검색), MultiQueryRetriever(질의 확장), NodePostprocessor(재정렬)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RAGAS 프레임워크 공식 문서(docs.ragas.io) — Faithfulness·Context Precision·Context Recall·Answer Relevancy 등 RAG 평가지표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리소스 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Cloud 공식 백서 “MLOps: Continuous delivery and automation pipelines in machine learning”(cloud.google.com/architecture)</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MTEB(Massive Text Embedding Benchmark, Hugging Face, arXiv:2210.07316) — 임베딩 모델의 검색·클러스터링·분류 성능 벤치마크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OWASP — 「Top 10 for LLM Applications」, 「GenAI Red Teaming Guide」 v1.0(’25.1) — [AI보안가이드북]·[AI보안위협대응매뉴얼]이 위협 분류·모의공격 근거로 인용</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052" w14:textId="77777777" w:rsidR="004E412A" w:rsidRDefault="004E412A" w:rsidP="003473D8">
      <w:pPr>
        <w:spacing w:after="0" w:line="240" w:lineRule="auto"/>
      </w:pPr>
      <w:r>
        <w:separator/>
      </w:r>
    </w:p>
  </w:endnote>
  <w:endnote w:type="continuationSeparator" w:id="0">
    <w:p w14:paraId="270002E2" w14:textId="77777777" w:rsidR="004E412A" w:rsidRDefault="004E412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2E1B94F4"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D8490A">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6C36" w14:textId="77777777" w:rsidR="004E412A" w:rsidRDefault="004E412A" w:rsidP="003473D8">
      <w:pPr>
        <w:spacing w:after="0" w:line="240" w:lineRule="auto"/>
      </w:pPr>
      <w:r>
        <w:separator/>
      </w:r>
    </w:p>
  </w:footnote>
  <w:footnote w:type="continuationSeparator" w:id="0">
    <w:p w14:paraId="5779602E" w14:textId="77777777" w:rsidR="004E412A" w:rsidRDefault="004E412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7E849859"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8490A">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592</Pages>
  <Words>112370</Words>
  <Characters>640514</Characters>
  <Application>Microsoft Office Word</Application>
  <DocSecurity>0</DocSecurity>
  <Lines>5337</Lines>
  <Paragraphs>1502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21</cp:revision>
  <dcterms:created xsi:type="dcterms:W3CDTF">2026-08-14T23:14:00Z</dcterms:created>
  <dcterms:modified xsi:type="dcterms:W3CDTF">2026-08-16T13:23:00Z</dcterms:modified>
</cp:coreProperties>
</file>