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differences”(질의 유형별 처리 경로 결정 기준)(출처: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rules”(민감정보 포함 질의를 사전 식별・차단하여 처리 경로를 분기하는 근거)(출처: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마련”(내부 LLM과 외부 LLM/API 사용 구분 기준)</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outputs”(라우팅 오류・예상 밖 동작의 탐지와 조치 근거)</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used”(질의가 어느 경로・인덱스로 처리되었는지 응답별로 추적하여 라우팅 오류를 식별)(출처: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limits”(성능 저하 탐지 시 재학습・폐기 결정 기준)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requirements”(모델 적용 기준・RAG 적용 방식・평가용 데이터를 포함한 문서화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모델: “학습 데이터 버전, 학습 시점, 하이퍼 파라미터, 학습 로그, 가중치 파일, 검증 결과 등”, 프롬프트: “시스템 프롬프트, 프롬프트 템플릿, 운영 지시문, 변경 이력, 테스트 케이스 등”(프롬프트 관리대장・모델 운영관리대장의 기재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thing”(Golden Set 산출물의 구성 항목)(출처: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