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제9조① 2호 — “제2항에 따른 대비표가 세부 검사항목별로 적합·부적합 판정을 할 수 있도록 구체화되었는지의 여부”, ② — “사업자는 설계 산출물이 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