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경우”(내부 규정・업무문서 기반 질의 설계 및 고위험 영역 구분 설계의 근거)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경우”(평가 수행 및 결과 관리 여부의 판정기준)</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