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경우”(평가 수행 및 결과 관리 여부의 판정기준)</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