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검증)(생성 결과의 “근거 일치성” 평가축의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제시(검색 오류와 생성 오류의 원인 구분 기준의 학술적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“금칙어・공격패턴 등을 필터 혹은 사전 정의한 입력 템플릿 등을 통해 차단”, “사전에 정의한 템플릿에 맞춰 입력하도록 하여 공격 프롬프트 주입을 차단하는 방식도 가능”(사전 정의된 입력・생성 템플릿 운영의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보관”(AI 설계 변경사항의 산출물 반영 및 이력관리 근거)</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확보”(적재 대상 데이터의 검증 및 출처 정보 적재 근거)</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