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40"/>
        <w:jc w:val="center"/>
      </w:pPr>
      <w:r>
        <w:rPr>
          <w:color w:val="595959"/>
          <w:sz w:val="22"/>
          <w:szCs w:val="22"/>
        </w:rPr>
        <w:t xml:space="preserve">IT Department (Solution Development)</w:t>
      </w:r>
    </w:p>
    <w:p>
      <w:pPr>
        <w:spacing w:after="60" w:before="200"/>
        <w:jc w:val="center"/>
      </w:pPr>
      <w:r>
        <w:rPr>
          <w:b/>
          <w:bCs/>
          <w:color w:val="1F4E79"/>
          <w:sz w:val="34"/>
          <w:szCs w:val="34"/>
        </w:rPr>
        <w:t xml:space="preserve">Hybrid Market Intelligence System (MIS)</w:t>
      </w:r>
    </w:p>
    <w:p>
      <w:pPr>
        <w:spacing w:after="40"/>
        <w:jc w:val="center"/>
      </w:pPr>
      <w:r>
        <w:rPr>
          <w:b/>
          <w:bCs/>
          <w:color w:val="1A1A1A"/>
          <w:sz w:val="40"/>
          <w:szCs w:val="40"/>
        </w:rPr>
        <w:t xml:space="preserve">Functional Design Specification (FDS)</w:t>
      </w:r>
    </w:p>
    <w:p>
      <w:pPr>
        <w:spacing w:after="300"/>
        <w:jc w:val="center"/>
      </w:pPr>
      <w:r>
        <w:rPr>
          <w:color w:val="595959"/>
          <w:sz w:val="22"/>
          <w:szCs w:val="22"/>
        </w:rPr>
        <w:t xml:space="preserve">Project Code: KG-MIS-2026-DEV-PROPOSAL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4E79" w:val="clear"/>
            <w:tcMar>
              <w:top w:type="dxa" w:w="80"/>
              <w:left w:type="dxa" w:w="120"/>
              <w:bottom w:type="dxa" w:w="80"/>
              <w:right w:type="dxa" w:w="120"/>
            </w:tcMar>
            <w:vAlign w:val="center"/>
          </w:tcPr>
          <w:p>
            <w:r>
              <w:rPr>
                <w:b/>
                <w:bCs/>
                <w:color w:val="FFFFFF"/>
                <w:sz w:val="20"/>
                <w:szCs w:val="20"/>
              </w:rPr>
              <w:t xml:space="preserve">Project Sponsor</w:t>
            </w:r>
          </w:p>
        </w:tc>
        <w:tc>
          <w:tcPr>
            <w:tcW w:type="dxa" w:w="6360"/>
            <w:tcMar>
              <w:top w:type="dxa" w:w="80"/>
              <w:left w:type="dxa" w:w="120"/>
              <w:bottom w:type="dxa" w:w="80"/>
              <w:right w:type="dxa" w:w="120"/>
            </w:tcMar>
            <w:vAlign w:val="center"/>
          </w:tcPr>
          <w:p>
            <w:r>
              <w:rPr>
                <w:b w:val="false"/>
                <w:bCs w:val="false"/>
                <w:color w:val="1A1A1A"/>
                <w:sz w:val="20"/>
                <w:szCs w:val="20"/>
              </w:rPr>
              <w:t xml:space="preserve">Marketing Department, Kerchanshe Group</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Requesting Officer</w:t>
            </w:r>
          </w:p>
        </w:tc>
        <w:tc>
          <w:tcPr>
            <w:tcW w:type="dxa" w:w="6360"/>
            <w:tcMar>
              <w:top w:type="dxa" w:w="80"/>
              <w:left w:type="dxa" w:w="120"/>
              <w:bottom w:type="dxa" w:w="80"/>
              <w:right w:type="dxa" w:w="120"/>
            </w:tcMar>
            <w:vAlign w:val="center"/>
          </w:tcPr>
          <w:p>
            <w:r>
              <w:rPr>
                <w:b w:val="false"/>
                <w:bCs w:val="false"/>
                <w:color w:val="1A1A1A"/>
                <w:sz w:val="20"/>
                <w:szCs w:val="20"/>
              </w:rPr>
              <w:t xml:space="preserve">Mr. Tsegaye Nigusie — Marketing Intelligence Officer</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Delivery Owner</w:t>
            </w:r>
          </w:p>
        </w:tc>
        <w:tc>
          <w:tcPr>
            <w:tcW w:type="dxa" w:w="6360"/>
            <w:tcMar>
              <w:top w:type="dxa" w:w="80"/>
              <w:left w:type="dxa" w:w="120"/>
              <w:bottom w:type="dxa" w:w="80"/>
              <w:right w:type="dxa" w:w="120"/>
            </w:tcMar>
            <w:vAlign w:val="center"/>
          </w:tcPr>
          <w:p>
            <w:r>
              <w:rPr>
                <w:b w:val="false"/>
                <w:bCs w:val="false"/>
                <w:color w:val="1A1A1A"/>
                <w:sz w:val="20"/>
                <w:szCs w:val="20"/>
              </w:rPr>
              <w:t xml:space="preserve">IT Department (Solution Development)</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CTO</w:t>
            </w:r>
          </w:p>
        </w:tc>
        <w:tc>
          <w:tcPr>
            <w:tcW w:type="dxa" w:w="6360"/>
            <w:tcMar>
              <w:top w:type="dxa" w:w="80"/>
              <w:left w:type="dxa" w:w="120"/>
              <w:bottom w:type="dxa" w:w="80"/>
              <w:right w:type="dxa" w:w="120"/>
            </w:tcMar>
            <w:vAlign w:val="center"/>
          </w:tcPr>
          <w:p>
            <w:r>
              <w:rPr>
                <w:b w:val="false"/>
                <w:bCs w:val="false"/>
                <w:color w:val="1A1A1A"/>
                <w:sz w:val="20"/>
                <w:szCs w:val="20"/>
              </w:rPr>
              <w:t xml:space="preserve">Mr. Melkamu Alamerew</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Project Manager</w:t>
            </w:r>
          </w:p>
        </w:tc>
        <w:tc>
          <w:tcPr>
            <w:tcW w:type="dxa" w:w="6360"/>
            <w:tcMar>
              <w:top w:type="dxa" w:w="80"/>
              <w:left w:type="dxa" w:w="120"/>
              <w:bottom w:type="dxa" w:w="80"/>
              <w:right w:type="dxa" w:w="120"/>
            </w:tcMar>
            <w:vAlign w:val="center"/>
          </w:tcPr>
          <w:p>
            <w:r>
              <w:rPr>
                <w:b w:val="false"/>
                <w:bCs w:val="false"/>
                <w:color w:val="1A1A1A"/>
                <w:sz w:val="20"/>
                <w:szCs w:val="20"/>
              </w:rPr>
              <w:t xml:space="preserve">Mr. Estifanos Alemseged</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Solution Author / Developer</w:t>
            </w:r>
          </w:p>
        </w:tc>
        <w:tc>
          <w:tcPr>
            <w:tcW w:type="dxa" w:w="6360"/>
            <w:tcMar>
              <w:top w:type="dxa" w:w="80"/>
              <w:left w:type="dxa" w:w="120"/>
              <w:bottom w:type="dxa" w:w="80"/>
              <w:right w:type="dxa" w:w="120"/>
            </w:tcMar>
            <w:vAlign w:val="center"/>
          </w:tcPr>
          <w:p>
            <w:r>
              <w:rPr>
                <w:b w:val="false"/>
                <w:bCs w:val="false"/>
                <w:color w:val="1A1A1A"/>
                <w:sz w:val="20"/>
                <w:szCs w:val="20"/>
              </w:rPr>
              <w:t xml:space="preserve">Mr. Woluman Urgesa</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QA / Test Engineer</w:t>
            </w:r>
          </w:p>
        </w:tc>
        <w:tc>
          <w:tcPr>
            <w:tcW w:type="dxa" w:w="6360"/>
            <w:tcMar>
              <w:top w:type="dxa" w:w="80"/>
              <w:left w:type="dxa" w:w="120"/>
              <w:bottom w:type="dxa" w:w="80"/>
              <w:right w:type="dxa" w:w="120"/>
            </w:tcMar>
            <w:vAlign w:val="center"/>
          </w:tcPr>
          <w:p>
            <w:r>
              <w:rPr>
                <w:b w:val="false"/>
                <w:bCs w:val="false"/>
                <w:color w:val="1A1A1A"/>
                <w:sz w:val="20"/>
                <w:szCs w:val="20"/>
              </w:rPr>
              <w:t xml:space="preserve">Mr. Hirko Gemechu</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Based On</w:t>
            </w:r>
          </w:p>
        </w:tc>
        <w:tc>
          <w:tcPr>
            <w:tcW w:type="dxa" w:w="6360"/>
            <w:tcMar>
              <w:top w:type="dxa" w:w="80"/>
              <w:left w:type="dxa" w:w="120"/>
              <w:bottom w:type="dxa" w:w="80"/>
              <w:right w:type="dxa" w:w="120"/>
            </w:tcMar>
            <w:vAlign w:val="center"/>
          </w:tcPr>
          <w:p>
            <w:r>
              <w:rPr>
                <w:b w:val="false"/>
                <w:bCs w:val="false"/>
                <w:color w:val="1A1A1A"/>
                <w:sz w:val="20"/>
                <w:szCs w:val="20"/>
              </w:rPr>
              <w:t xml:space="preserve">User Requirement (Marketing), KG-MIS Phase 0 Project Planning Package v1.3.0, and KG-MIS Solution Design Document (SDD) v1.0</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Companion Documents</w:t>
            </w:r>
          </w:p>
        </w:tc>
        <w:tc>
          <w:tcPr>
            <w:tcW w:type="dxa" w:w="6360"/>
            <w:tcMar>
              <w:top w:type="dxa" w:w="80"/>
              <w:left w:type="dxa" w:w="120"/>
              <w:bottom w:type="dxa" w:w="80"/>
              <w:right w:type="dxa" w:w="120"/>
            </w:tcMar>
            <w:vAlign w:val="center"/>
          </w:tcPr>
          <w:p>
            <w:r>
              <w:rPr>
                <w:b w:val="false"/>
                <w:bCs w:val="false"/>
                <w:color w:val="1A1A1A"/>
                <w:sz w:val="20"/>
                <w:szCs w:val="20"/>
              </w:rPr>
              <w:t xml:space="preserve">Solution Design Document (SDD) · Technical Design Specification (TDS) · Integration Design · Security Matrix</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Document Status</w:t>
            </w:r>
          </w:p>
        </w:tc>
        <w:tc>
          <w:tcPr>
            <w:tcW w:type="dxa" w:w="6360"/>
            <w:tcMar>
              <w:top w:type="dxa" w:w="80"/>
              <w:left w:type="dxa" w:w="120"/>
              <w:bottom w:type="dxa" w:w="80"/>
              <w:right w:type="dxa" w:w="120"/>
            </w:tcMar>
            <w:vAlign w:val="center"/>
          </w:tcPr>
          <w:p>
            <w:r>
              <w:rPr>
                <w:b w:val="false"/>
                <w:bCs w:val="false"/>
                <w:color w:val="1A1A1A"/>
                <w:sz w:val="20"/>
                <w:szCs w:val="20"/>
              </w:rPr>
              <w:t xml:space="preserve">Draft v1.0 — For Review</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Prepared Date</w:t>
            </w:r>
          </w:p>
        </w:tc>
        <w:tc>
          <w:tcPr>
            <w:tcW w:type="dxa" w:w="6360"/>
            <w:tcMar>
              <w:top w:type="dxa" w:w="80"/>
              <w:left w:type="dxa" w:w="120"/>
              <w:bottom w:type="dxa" w:w="80"/>
              <w:right w:type="dxa" w:w="120"/>
            </w:tcMar>
            <w:vAlign w:val="center"/>
          </w:tcPr>
          <w:p>
            <w:r>
              <w:rPr>
                <w:b w:val="false"/>
                <w:bCs w:val="false"/>
                <w:color w:val="1A1A1A"/>
                <w:sz w:val="20"/>
                <w:szCs w:val="20"/>
              </w:rPr>
              <w:t xml:space="preserve">06 August 2026</w:t>
            </w:r>
          </w:p>
        </w:tc>
      </w:tr>
    </w:tbl>
    <w:p>
      <w:r>
        <w:br w:type="page"/>
      </w:r>
    </w:p>
    <w:p>
      <w:pPr>
        <w:pStyle w:val="Heading1"/>
        <w:pBdr>
          <w:bottom w:val="single" w:color="1F4E79" w:sz="8" w:space="4"/>
        </w:pBdr>
        <w:spacing w:after="160" w:before="360"/>
      </w:pPr>
      <w:r>
        <w:rPr>
          <w:b/>
          <w:bCs/>
          <w:color w:val="1F4E79"/>
          <w:sz w:val="30"/>
          <w:szCs w:val="30"/>
        </w:rPr>
        <w:t xml:space="preserve">Table of Contents</w:t>
      </w:r>
    </w:p>
    <w:p>
      <w:pPr>
        <w:tabs>
          <w:tab w:val="right" w:pos="9026" w:leader="dot"/>
        </w:tabs>
        <w:spacing w:after="100"/>
        <w:ind w:left="0"/>
      </w:pPr>
      <w:r>
        <w:rPr>
          <w:b/>
          <w:bCs/>
          <w:color w:val="1F4E79"/>
          <w:sz w:val="21"/>
          <w:szCs w:val="21"/>
        </w:rPr>
        <w:t xml:space="preserve">1. Introduction</w:t>
      </w:r>
      <w:r>
        <w:rPr>
          <w:b/>
          <w:bCs/>
          <w:color w:val="1F4E79"/>
          <w:sz w:val="21"/>
          <w:szCs w:val="21"/>
        </w:rPr>
        <w:t xml:space="preserve">	3</w:t>
      </w:r>
    </w:p>
    <w:p>
      <w:pPr>
        <w:tabs>
          <w:tab w:val="right" w:pos="9026" w:leader="dot"/>
        </w:tabs>
        <w:spacing w:after="60"/>
        <w:ind w:left="260"/>
      </w:pPr>
      <w:r>
        <w:rPr>
          <w:b w:val="false"/>
          <w:bCs w:val="false"/>
          <w:color w:val="1A1A1A"/>
          <w:sz w:val="20"/>
          <w:szCs w:val="20"/>
        </w:rPr>
        <w:t xml:space="preserve">1.1 Purpose</w:t>
      </w:r>
      <w:r>
        <w:rPr>
          <w:b w:val="false"/>
          <w:bCs w:val="false"/>
          <w:color w:val="1A1A1A"/>
          <w:sz w:val="20"/>
          <w:szCs w:val="20"/>
        </w:rPr>
        <w:t xml:space="preserve">	3</w:t>
      </w:r>
    </w:p>
    <w:p>
      <w:pPr>
        <w:tabs>
          <w:tab w:val="right" w:pos="9026" w:leader="dot"/>
        </w:tabs>
        <w:spacing w:after="60"/>
        <w:ind w:left="260"/>
      </w:pPr>
      <w:r>
        <w:rPr>
          <w:b w:val="false"/>
          <w:bCs w:val="false"/>
          <w:color w:val="1A1A1A"/>
          <w:sz w:val="20"/>
          <w:szCs w:val="20"/>
        </w:rPr>
        <w:t xml:space="preserve">1.2 Scope of This Document</w:t>
      </w:r>
      <w:r>
        <w:rPr>
          <w:b w:val="false"/>
          <w:bCs w:val="false"/>
          <w:color w:val="1A1A1A"/>
          <w:sz w:val="20"/>
          <w:szCs w:val="20"/>
        </w:rPr>
        <w:t xml:space="preserve">	3</w:t>
      </w:r>
    </w:p>
    <w:p>
      <w:pPr>
        <w:tabs>
          <w:tab w:val="right" w:pos="9026" w:leader="dot"/>
        </w:tabs>
        <w:spacing w:after="60"/>
        <w:ind w:left="260"/>
      </w:pPr>
      <w:r>
        <w:rPr>
          <w:b w:val="false"/>
          <w:bCs w:val="false"/>
          <w:color w:val="1A1A1A"/>
          <w:sz w:val="20"/>
          <w:szCs w:val="20"/>
        </w:rPr>
        <w:t xml:space="preserve">1.3 References</w:t>
      </w:r>
      <w:r>
        <w:rPr>
          <w:b w:val="false"/>
          <w:bCs w:val="false"/>
          <w:color w:val="1A1A1A"/>
          <w:sz w:val="20"/>
          <w:szCs w:val="20"/>
        </w:rPr>
        <w:t xml:space="preserve">	3</w:t>
      </w:r>
    </w:p>
    <w:p>
      <w:pPr>
        <w:tabs>
          <w:tab w:val="right" w:pos="9026" w:leader="dot"/>
        </w:tabs>
        <w:spacing w:after="60"/>
        <w:ind w:left="260"/>
      </w:pPr>
      <w:r>
        <w:rPr>
          <w:b w:val="false"/>
          <w:bCs w:val="false"/>
          <w:color w:val="1A1A1A"/>
          <w:sz w:val="20"/>
          <w:szCs w:val="20"/>
        </w:rPr>
        <w:t xml:space="preserve">1.4 Definitions &amp; Acronyms</w:t>
      </w:r>
      <w:r>
        <w:rPr>
          <w:b w:val="false"/>
          <w:bCs w:val="false"/>
          <w:color w:val="1A1A1A"/>
          <w:sz w:val="20"/>
          <w:szCs w:val="20"/>
        </w:rPr>
        <w:t xml:space="preserve">	3</w:t>
      </w:r>
    </w:p>
    <w:p>
      <w:pPr>
        <w:tabs>
          <w:tab w:val="right" w:pos="9026" w:leader="dot"/>
        </w:tabs>
        <w:spacing w:after="100"/>
        <w:ind w:left="0"/>
      </w:pPr>
      <w:r>
        <w:rPr>
          <w:b/>
          <w:bCs/>
          <w:color w:val="1F4E79"/>
          <w:sz w:val="21"/>
          <w:szCs w:val="21"/>
        </w:rPr>
        <w:t xml:space="preserve">2. Functional Overview</w:t>
      </w:r>
      <w:r>
        <w:rPr>
          <w:b/>
          <w:bCs/>
          <w:color w:val="1F4E79"/>
          <w:sz w:val="21"/>
          <w:szCs w:val="21"/>
        </w:rPr>
        <w:t xml:space="preserve">	4</w:t>
      </w:r>
    </w:p>
    <w:p>
      <w:pPr>
        <w:tabs>
          <w:tab w:val="right" w:pos="9026" w:leader="dot"/>
        </w:tabs>
        <w:spacing w:after="60"/>
        <w:ind w:left="260"/>
      </w:pPr>
      <w:r>
        <w:rPr>
          <w:b w:val="false"/>
          <w:bCs w:val="false"/>
          <w:color w:val="1A1A1A"/>
          <w:sz w:val="20"/>
          <w:szCs w:val="20"/>
        </w:rPr>
        <w:t xml:space="preserve">2.1 Actors / Roles</w:t>
      </w:r>
      <w:r>
        <w:rPr>
          <w:b w:val="false"/>
          <w:bCs w:val="false"/>
          <w:color w:val="1A1A1A"/>
          <w:sz w:val="20"/>
          <w:szCs w:val="20"/>
        </w:rPr>
        <w:t xml:space="preserve">	4</w:t>
      </w:r>
    </w:p>
    <w:p>
      <w:pPr>
        <w:tabs>
          <w:tab w:val="right" w:pos="9026" w:leader="dot"/>
        </w:tabs>
        <w:spacing w:after="60"/>
        <w:ind w:left="260"/>
      </w:pPr>
      <w:r>
        <w:rPr>
          <w:b w:val="false"/>
          <w:bCs w:val="false"/>
          <w:color w:val="1A1A1A"/>
          <w:sz w:val="20"/>
          <w:szCs w:val="20"/>
        </w:rPr>
        <w:t xml:space="preserve">2.2 Epic Summary</w:t>
      </w:r>
      <w:r>
        <w:rPr>
          <w:b w:val="false"/>
          <w:bCs w:val="false"/>
          <w:color w:val="1A1A1A"/>
          <w:sz w:val="20"/>
          <w:szCs w:val="20"/>
        </w:rPr>
        <w:t xml:space="preserve">	4</w:t>
      </w:r>
    </w:p>
    <w:p>
      <w:pPr>
        <w:tabs>
          <w:tab w:val="right" w:pos="9026" w:leader="dot"/>
        </w:tabs>
        <w:spacing w:after="100"/>
        <w:ind w:left="0"/>
      </w:pPr>
      <w:r>
        <w:rPr>
          <w:b/>
          <w:bCs/>
          <w:color w:val="1F4E79"/>
          <w:sz w:val="21"/>
          <w:szCs w:val="21"/>
        </w:rPr>
        <w:t xml:space="preserve">3. EPIC-01 — Survey &amp; Questionnaire Builder</w:t>
      </w:r>
      <w:r>
        <w:rPr>
          <w:b/>
          <w:bCs/>
          <w:color w:val="1F4E79"/>
          <w:sz w:val="21"/>
          <w:szCs w:val="21"/>
        </w:rPr>
        <w:t xml:space="preserve">	4</w:t>
      </w:r>
    </w:p>
    <w:p>
      <w:pPr>
        <w:tabs>
          <w:tab w:val="right" w:pos="9026" w:leader="dot"/>
        </w:tabs>
        <w:spacing w:after="100"/>
        <w:ind w:left="0"/>
      </w:pPr>
      <w:r>
        <w:rPr>
          <w:b/>
          <w:bCs/>
          <w:color w:val="1F4E79"/>
          <w:sz w:val="21"/>
          <w:szCs w:val="21"/>
        </w:rPr>
        <w:t xml:space="preserve">4. EPIC-02 — Competitor &amp; Pricing Module</w:t>
      </w:r>
      <w:r>
        <w:rPr>
          <w:b/>
          <w:bCs/>
          <w:color w:val="1F4E79"/>
          <w:sz w:val="21"/>
          <w:szCs w:val="21"/>
        </w:rPr>
        <w:t xml:space="preserve">	6</w:t>
      </w:r>
    </w:p>
    <w:p>
      <w:pPr>
        <w:tabs>
          <w:tab w:val="right" w:pos="9026" w:leader="dot"/>
        </w:tabs>
        <w:spacing w:after="100"/>
        <w:ind w:left="0"/>
      </w:pPr>
      <w:r>
        <w:rPr>
          <w:b/>
          <w:bCs/>
          <w:color w:val="1F4E79"/>
          <w:sz w:val="21"/>
          <w:szCs w:val="21"/>
        </w:rPr>
        <w:t xml:space="preserve">5. EPIC-03 — D365FO Integration</w:t>
      </w:r>
      <w:r>
        <w:rPr>
          <w:b/>
          <w:bCs/>
          <w:color w:val="1F4E79"/>
          <w:sz w:val="21"/>
          <w:szCs w:val="21"/>
        </w:rPr>
        <w:t xml:space="preserve">	7</w:t>
      </w:r>
    </w:p>
    <w:p>
      <w:pPr>
        <w:tabs>
          <w:tab w:val="right" w:pos="9026" w:leader="dot"/>
        </w:tabs>
        <w:spacing w:after="100"/>
        <w:ind w:left="0"/>
      </w:pPr>
      <w:r>
        <w:rPr>
          <w:b/>
          <w:bCs/>
          <w:color w:val="1F4E79"/>
          <w:sz w:val="21"/>
          <w:szCs w:val="21"/>
        </w:rPr>
        <w:t xml:space="preserve">6. EPIC-04 — CUAS Integration (Login &amp; Role-Based Access)</w:t>
      </w:r>
      <w:r>
        <w:rPr>
          <w:b/>
          <w:bCs/>
          <w:color w:val="1F4E79"/>
          <w:sz w:val="21"/>
          <w:szCs w:val="21"/>
        </w:rPr>
        <w:t xml:space="preserve">	8</w:t>
      </w:r>
    </w:p>
    <w:p>
      <w:pPr>
        <w:tabs>
          <w:tab w:val="right" w:pos="9026" w:leader="dot"/>
        </w:tabs>
        <w:spacing w:after="100"/>
        <w:ind w:left="0"/>
      </w:pPr>
      <w:r>
        <w:rPr>
          <w:b/>
          <w:bCs/>
          <w:color w:val="1F4E79"/>
          <w:sz w:val="21"/>
          <w:szCs w:val="21"/>
        </w:rPr>
        <w:t xml:space="preserve">7. EPIC-05 — CNS Integration (Notifications)</w:t>
      </w:r>
      <w:r>
        <w:rPr>
          <w:b/>
          <w:bCs/>
          <w:color w:val="1F4E79"/>
          <w:sz w:val="21"/>
          <w:szCs w:val="21"/>
        </w:rPr>
        <w:t xml:space="preserve">	9</w:t>
      </w:r>
    </w:p>
    <w:p>
      <w:pPr>
        <w:tabs>
          <w:tab w:val="right" w:pos="9026" w:leader="dot"/>
        </w:tabs>
        <w:spacing w:after="100"/>
        <w:ind w:left="0"/>
      </w:pPr>
      <w:r>
        <w:rPr>
          <w:b/>
          <w:bCs/>
          <w:color w:val="1F4E79"/>
          <w:sz w:val="21"/>
          <w:szCs w:val="21"/>
        </w:rPr>
        <w:t xml:space="preserve">8. EPIC-06 — Power BI Dashboards &amp; Basic Reports</w:t>
      </w:r>
      <w:r>
        <w:rPr>
          <w:b/>
          <w:bCs/>
          <w:color w:val="1F4E79"/>
          <w:sz w:val="21"/>
          <w:szCs w:val="21"/>
        </w:rPr>
        <w:t xml:space="preserve">	10</w:t>
      </w:r>
    </w:p>
    <w:p>
      <w:pPr>
        <w:tabs>
          <w:tab w:val="right" w:pos="9026" w:leader="dot"/>
        </w:tabs>
        <w:spacing w:after="100"/>
        <w:ind w:left="0"/>
      </w:pPr>
      <w:r>
        <w:rPr>
          <w:b/>
          <w:bCs/>
          <w:color w:val="1F4E79"/>
          <w:sz w:val="21"/>
          <w:szCs w:val="21"/>
        </w:rPr>
        <w:t xml:space="preserve">9. Traceability Matrix</w:t>
      </w:r>
      <w:r>
        <w:rPr>
          <w:b/>
          <w:bCs/>
          <w:color w:val="1F4E79"/>
          <w:sz w:val="21"/>
          <w:szCs w:val="21"/>
        </w:rPr>
        <w:t xml:space="preserve">	11</w:t>
      </w:r>
    </w:p>
    <w:p>
      <w:pPr>
        <w:tabs>
          <w:tab w:val="right" w:pos="9026" w:leader="dot"/>
        </w:tabs>
        <w:spacing w:after="100"/>
        <w:ind w:left="0"/>
      </w:pPr>
      <w:r>
        <w:rPr>
          <w:b/>
          <w:bCs/>
          <w:color w:val="1F4E79"/>
          <w:sz w:val="21"/>
          <w:szCs w:val="21"/>
        </w:rPr>
        <w:t xml:space="preserve">10. Approval</w:t>
      </w:r>
      <w:r>
        <w:rPr>
          <w:b/>
          <w:bCs/>
          <w:color w:val="1F4E79"/>
          <w:sz w:val="21"/>
          <w:szCs w:val="21"/>
        </w:rPr>
        <w:t xml:space="preserve">	11</w:t>
      </w:r>
    </w:p>
    <w:p>
      <w:r>
        <w:br w:type="page"/>
      </w:r>
    </w:p>
    <w:p>
      <w:pPr>
        <w:pStyle w:val="Heading1"/>
        <w:pBdr>
          <w:bottom w:val="single" w:color="1F4E79" w:sz="8" w:space="4"/>
        </w:pBdr>
        <w:spacing w:after="160" w:before="360"/>
      </w:pPr>
      <w:r>
        <w:rPr>
          <w:b/>
          <w:bCs/>
          <w:color w:val="1F4E79"/>
          <w:sz w:val="30"/>
          <w:szCs w:val="30"/>
        </w:rPr>
        <w:t xml:space="preserve">1. Introduction</w:t>
      </w:r>
    </w:p>
    <w:p>
      <w:pPr>
        <w:pStyle w:val="Heading2"/>
        <w:spacing w:after="120" w:before="260"/>
      </w:pPr>
      <w:r>
        <w:rPr>
          <w:b/>
          <w:bCs/>
          <w:color w:val="1F4E79"/>
          <w:sz w:val="25"/>
          <w:szCs w:val="25"/>
        </w:rPr>
        <w:t xml:space="preserve">1.1 Purpose</w:t>
      </w:r>
    </w:p>
    <w:p>
      <w:pPr>
        <w:spacing w:after="160" w:line="276"/>
      </w:pPr>
      <w:r>
        <w:rPr>
          <w:b w:val="false"/>
          <w:bCs w:val="false"/>
          <w:i w:val="false"/>
          <w:iCs w:val="false"/>
          <w:color w:val="1A1A1A"/>
          <w:sz w:val="21"/>
          <w:szCs w:val="21"/>
        </w:rPr>
        <w:t xml:space="preserve">This Functional Design Specification (FDS) is the companion to the Solution Design Document (SDD) that defines, epic by epic, the functional requirements, business rules, and workflows the Hybrid Market Intelligence System (KG-MIS) must implement. It elaborates the Functional Design and Workflow Design activities of the Solution Design phase; architecture, technology, and cross-cutting design decisions are defined in the SDD and are not repeated here.</w:t>
      </w:r>
    </w:p>
    <w:p>
      <w:pPr>
        <w:pStyle w:val="Heading2"/>
        <w:spacing w:after="120" w:before="260"/>
      </w:pPr>
      <w:r>
        <w:rPr>
          <w:b/>
          <w:bCs/>
          <w:color w:val="1F4E79"/>
          <w:sz w:val="25"/>
          <w:szCs w:val="25"/>
        </w:rPr>
        <w:t xml:space="preserve">1.2 Scope of This Document</w:t>
      </w:r>
    </w:p>
    <w:p>
      <w:pPr>
        <w:spacing w:after="160" w:line="276"/>
      </w:pPr>
      <w:r>
        <w:rPr>
          <w:b w:val="false"/>
          <w:bCs w:val="false"/>
          <w:i w:val="false"/>
          <w:iCs w:val="false"/>
          <w:color w:val="1A1A1A"/>
          <w:sz w:val="21"/>
          <w:szCs w:val="21"/>
        </w:rPr>
        <w:t xml:space="preserve">This FDS covers the six epics approved in the Phase 0 backlog: Survey &amp; Questionnaire Builder, Competitor &amp; Pricing Module, D365FO Integration, CUAS Integration, CNS Integration, and Power BI Dashboards &amp; Basic Reports. For each epic it states the actors, numbered functional requirements, business rules, and the primary workflow as a diagram and narrative. Database schema and API endpoint contracts that implement these requirements are defined in the TDS; integration message formats are defined in the Integration Design document; the role-to-permission matrix is defined in the Security Matrix.</w:t>
      </w:r>
    </w:p>
    <w:p>
      <w:pPr>
        <w:pStyle w:val="Heading2"/>
        <w:spacing w:after="120" w:before="260"/>
      </w:pPr>
      <w:r>
        <w:rPr>
          <w:b/>
          <w:bCs/>
          <w:color w:val="1F4E79"/>
          <w:sz w:val="25"/>
          <w:szCs w:val="25"/>
        </w:rPr>
        <w:t xml:space="preserve">1.3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Ref</w:t>
            </w:r>
          </w:p>
        </w:tc>
        <w:tc>
          <w:tcPr>
            <w:tcW w:type="dxa" w:w="3800"/>
            <w:shd w:fill="1F4E79" w:val="clear"/>
            <w:tcMar>
              <w:top w:type="dxa" w:w="80"/>
              <w:left w:type="dxa" w:w="120"/>
              <w:bottom w:type="dxa" w:w="80"/>
              <w:right w:type="dxa" w:w="120"/>
            </w:tcMar>
            <w:vAlign w:val="center"/>
          </w:tcPr>
          <w:p>
            <w:r>
              <w:rPr>
                <w:b/>
                <w:bCs/>
                <w:color w:val="FFFFFF"/>
                <w:sz w:val="20"/>
                <w:szCs w:val="20"/>
              </w:rPr>
              <w:t xml:space="preserve">Document</w:t>
            </w:r>
          </w:p>
        </w:tc>
        <w:tc>
          <w:tcPr>
            <w:tcW w:type="dxa" w:w="4360"/>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REF-01</w:t>
            </w:r>
          </w:p>
        </w:tc>
        <w:tc>
          <w:tcPr>
            <w:tcW w:type="dxa" w:w="3800"/>
            <w:tcMar>
              <w:top w:type="dxa" w:w="80"/>
              <w:left w:type="dxa" w:w="120"/>
              <w:bottom w:type="dxa" w:w="80"/>
              <w:right w:type="dxa" w:w="120"/>
            </w:tcMar>
            <w:vAlign w:val="center"/>
          </w:tcPr>
          <w:p>
            <w:r>
              <w:rPr>
                <w:b w:val="false"/>
                <w:bCs w:val="false"/>
                <w:color w:val="1A1A1A"/>
                <w:sz w:val="20"/>
                <w:szCs w:val="20"/>
              </w:rPr>
              <w:t xml:space="preserve">User Requirement (Marketing Department)</w:t>
            </w:r>
          </w:p>
        </w:tc>
        <w:tc>
          <w:tcPr>
            <w:tcW w:type="dxa" w:w="4360"/>
            <w:tcMar>
              <w:top w:type="dxa" w:w="80"/>
              <w:left w:type="dxa" w:w="120"/>
              <w:bottom w:type="dxa" w:w="80"/>
              <w:right w:type="dxa" w:w="120"/>
            </w:tcMar>
            <w:vAlign w:val="center"/>
          </w:tcPr>
          <w:p>
            <w:r>
              <w:rPr>
                <w:b w:val="false"/>
                <w:bCs w:val="false"/>
                <w:color w:val="1A1A1A"/>
                <w:sz w:val="20"/>
                <w:szCs w:val="20"/>
              </w:rPr>
              <w:t xml:space="preserve">Source business requirement submitted by Tsegaye Nigusie, Marketing Intelligence Officer</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REF-02</w:t>
            </w:r>
          </w:p>
        </w:tc>
        <w:tc>
          <w:tcPr>
            <w:tcW w:type="dxa" w:w="3800"/>
            <w:shd w:fill="F2F2F2" w:val="clear"/>
            <w:tcMar>
              <w:top w:type="dxa" w:w="80"/>
              <w:left w:type="dxa" w:w="120"/>
              <w:bottom w:type="dxa" w:w="80"/>
              <w:right w:type="dxa" w:w="120"/>
            </w:tcMar>
            <w:vAlign w:val="center"/>
          </w:tcPr>
          <w:p>
            <w:r>
              <w:rPr>
                <w:b w:val="false"/>
                <w:bCs w:val="false"/>
                <w:color w:val="1A1A1A"/>
                <w:sz w:val="20"/>
                <w:szCs w:val="20"/>
              </w:rPr>
              <w:t xml:space="preserve">KG-MIS-Phase0_Project_Planning_v1.3.0</w:t>
            </w:r>
          </w:p>
        </w:tc>
        <w:tc>
          <w:tcPr>
            <w:tcW w:type="dxa" w:w="4360"/>
            <w:shd w:fill="F2F2F2" w:val="clear"/>
            <w:tcMar>
              <w:top w:type="dxa" w:w="80"/>
              <w:left w:type="dxa" w:w="120"/>
              <w:bottom w:type="dxa" w:w="80"/>
              <w:right w:type="dxa" w:w="120"/>
            </w:tcMar>
            <w:vAlign w:val="center"/>
          </w:tcPr>
          <w:p>
            <w:r>
              <w:rPr>
                <w:b w:val="false"/>
                <w:bCs w:val="false"/>
                <w:color w:val="1A1A1A"/>
                <w:sz w:val="20"/>
                <w:szCs w:val="20"/>
              </w:rPr>
              <w:t xml:space="preserve">Approved Project Charter, Business Case, Scope, Backlog, Sprint Roadmap</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REF-03</w:t>
            </w:r>
          </w:p>
        </w:tc>
        <w:tc>
          <w:tcPr>
            <w:tcW w:type="dxa" w:w="3800"/>
            <w:tcMar>
              <w:top w:type="dxa" w:w="80"/>
              <w:left w:type="dxa" w:w="120"/>
              <w:bottom w:type="dxa" w:w="80"/>
              <w:right w:type="dxa" w:w="120"/>
            </w:tcMar>
            <w:vAlign w:val="center"/>
          </w:tcPr>
          <w:p>
            <w:r>
              <w:rPr>
                <w:b w:val="false"/>
                <w:bCs w:val="false"/>
                <w:color w:val="1A1A1A"/>
                <w:sz w:val="20"/>
                <w:szCs w:val="20"/>
              </w:rPr>
              <w:t xml:space="preserve">KG-MIS Solution Design Document (SDD) v1.0</w:t>
            </w:r>
          </w:p>
        </w:tc>
        <w:tc>
          <w:tcPr>
            <w:tcW w:type="dxa" w:w="4360"/>
            <w:tcMar>
              <w:top w:type="dxa" w:w="80"/>
              <w:left w:type="dxa" w:w="120"/>
              <w:bottom w:type="dxa" w:w="80"/>
              <w:right w:type="dxa" w:w="120"/>
            </w:tcMar>
            <w:vAlign w:val="center"/>
          </w:tcPr>
          <w:p>
            <w:r>
              <w:rPr>
                <w:b w:val="false"/>
                <w:bCs w:val="false"/>
                <w:color w:val="1A1A1A"/>
                <w:sz w:val="20"/>
                <w:szCs w:val="20"/>
              </w:rPr>
              <w:t xml:space="preserve">Architecture, technology stack, and design principles this FDS elaborates on</w:t>
            </w:r>
          </w:p>
        </w:tc>
      </w:tr>
    </w:tbl>
    <w:p>
      <w:pPr>
        <w:pStyle w:val="Heading2"/>
        <w:spacing w:after="120" w:before="260"/>
      </w:pPr>
      <w:r>
        <w:rPr>
          <w:b/>
          <w:bCs/>
          <w:color w:val="1F4E79"/>
          <w:sz w:val="25"/>
          <w:szCs w:val="25"/>
        </w:rPr>
        <w:t xml:space="preserve">1.4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1F4E79" w:val="clear"/>
            <w:tcMar>
              <w:top w:type="dxa" w:w="80"/>
              <w:left w:type="dxa" w:w="120"/>
              <w:bottom w:type="dxa" w:w="80"/>
              <w:right w:type="dxa" w:w="120"/>
            </w:tcMar>
            <w:vAlign w:val="center"/>
          </w:tcPr>
          <w:p>
            <w:r>
              <w:rPr>
                <w:b/>
                <w:bCs/>
                <w:color w:val="FFFFFF"/>
                <w:sz w:val="20"/>
                <w:szCs w:val="20"/>
              </w:rPr>
              <w:t xml:space="preserve">Term</w:t>
            </w:r>
          </w:p>
        </w:tc>
        <w:tc>
          <w:tcPr>
            <w:tcW w:type="dxa" w:w="7760"/>
            <w:shd w:fill="1F4E79" w:val="clear"/>
            <w:tcMar>
              <w:top w:type="dxa" w:w="80"/>
              <w:left w:type="dxa" w:w="120"/>
              <w:bottom w:type="dxa" w:w="80"/>
              <w:right w:type="dxa" w:w="120"/>
            </w:tcMar>
            <w:vAlign w:val="center"/>
          </w:tcPr>
          <w:p>
            <w:r>
              <w:rPr>
                <w:b/>
                <w:bCs/>
                <w:color w:val="FFFFFF"/>
                <w:sz w:val="20"/>
                <w:szCs w:val="20"/>
              </w:rPr>
              <w:t xml:space="preserve">Definition</w:t>
            </w:r>
          </w:p>
        </w:tc>
      </w:tr>
      <w:tr>
        <w:tc>
          <w:tcPr>
            <w:tcW w:type="dxa" w:w="1600"/>
            <w:tcMar>
              <w:top w:type="dxa" w:w="80"/>
              <w:left w:type="dxa" w:w="120"/>
              <w:bottom w:type="dxa" w:w="80"/>
              <w:right w:type="dxa" w:w="120"/>
            </w:tcMar>
            <w:vAlign w:val="center"/>
          </w:tcPr>
          <w:p>
            <w:r>
              <w:rPr>
                <w:b w:val="false"/>
                <w:bCs w:val="false"/>
                <w:color w:val="1A1A1A"/>
                <w:sz w:val="20"/>
                <w:szCs w:val="20"/>
              </w:rPr>
              <w:t xml:space="preserve">FDS</w:t>
            </w:r>
          </w:p>
        </w:tc>
        <w:tc>
          <w:tcPr>
            <w:tcW w:type="dxa" w:w="7760"/>
            <w:tcMar>
              <w:top w:type="dxa" w:w="80"/>
              <w:left w:type="dxa" w:w="120"/>
              <w:bottom w:type="dxa" w:w="80"/>
              <w:right w:type="dxa" w:w="120"/>
            </w:tcMar>
            <w:vAlign w:val="center"/>
          </w:tcPr>
          <w:p>
            <w:r>
              <w:rPr>
                <w:b w:val="false"/>
                <w:bCs w:val="false"/>
                <w:color w:val="1A1A1A"/>
                <w:sz w:val="20"/>
                <w:szCs w:val="20"/>
              </w:rPr>
              <w:t xml:space="preserve">Functional Design Specification — this document</w:t>
            </w:r>
          </w:p>
        </w:tc>
      </w:tr>
      <w:tr>
        <w:tc>
          <w:tcPr>
            <w:tcW w:type="dxa" w:w="1600"/>
            <w:shd w:fill="F2F2F2" w:val="clear"/>
            <w:tcMar>
              <w:top w:type="dxa" w:w="80"/>
              <w:left w:type="dxa" w:w="120"/>
              <w:bottom w:type="dxa" w:w="80"/>
              <w:right w:type="dxa" w:w="120"/>
            </w:tcMar>
            <w:vAlign w:val="center"/>
          </w:tcPr>
          <w:p>
            <w:r>
              <w:rPr>
                <w:b w:val="false"/>
                <w:bCs w:val="false"/>
                <w:color w:val="1A1A1A"/>
                <w:sz w:val="20"/>
                <w:szCs w:val="20"/>
              </w:rPr>
              <w:t xml:space="preserve">Epic</w:t>
            </w:r>
          </w:p>
        </w:tc>
        <w:tc>
          <w:tcPr>
            <w:tcW w:type="dxa" w:w="7760"/>
            <w:shd w:fill="F2F2F2" w:val="clear"/>
            <w:tcMar>
              <w:top w:type="dxa" w:w="80"/>
              <w:left w:type="dxa" w:w="120"/>
              <w:bottom w:type="dxa" w:w="80"/>
              <w:right w:type="dxa" w:w="120"/>
            </w:tcMar>
            <w:vAlign w:val="center"/>
          </w:tcPr>
          <w:p>
            <w:r>
              <w:rPr>
                <w:b w:val="false"/>
                <w:bCs w:val="false"/>
                <w:color w:val="1A1A1A"/>
                <w:sz w:val="20"/>
                <w:szCs w:val="20"/>
              </w:rPr>
              <w:t xml:space="preserve">A grouping of related functional requirements delivered as one backlog item, per the Phase 0 sprint roadmap</w:t>
            </w:r>
          </w:p>
        </w:tc>
      </w:tr>
      <w:tr>
        <w:tc>
          <w:tcPr>
            <w:tcW w:type="dxa" w:w="1600"/>
            <w:tcMar>
              <w:top w:type="dxa" w:w="80"/>
              <w:left w:type="dxa" w:w="120"/>
              <w:bottom w:type="dxa" w:w="80"/>
              <w:right w:type="dxa" w:w="120"/>
            </w:tcMar>
            <w:vAlign w:val="center"/>
          </w:tcPr>
          <w:p>
            <w:r>
              <w:rPr>
                <w:b w:val="false"/>
                <w:bCs w:val="false"/>
                <w:color w:val="1A1A1A"/>
                <w:sz w:val="20"/>
                <w:szCs w:val="20"/>
              </w:rPr>
              <w:t xml:space="preserve">FR</w:t>
            </w:r>
          </w:p>
        </w:tc>
        <w:tc>
          <w:tcPr>
            <w:tcW w:type="dxa" w:w="7760"/>
            <w:tcMar>
              <w:top w:type="dxa" w:w="80"/>
              <w:left w:type="dxa" w:w="120"/>
              <w:bottom w:type="dxa" w:w="80"/>
              <w:right w:type="dxa" w:w="120"/>
            </w:tcMar>
            <w:vAlign w:val="center"/>
          </w:tcPr>
          <w:p>
            <w:r>
              <w:rPr>
                <w:b w:val="false"/>
                <w:bCs w:val="false"/>
                <w:color w:val="1A1A1A"/>
                <w:sz w:val="20"/>
                <w:szCs w:val="20"/>
              </w:rPr>
              <w:t xml:space="preserve">Functional Requirement — a numbered, testable statement of required system behavior</w:t>
            </w:r>
          </w:p>
        </w:tc>
      </w:tr>
      <w:tr>
        <w:tc>
          <w:tcPr>
            <w:tcW w:type="dxa" w:w="1600"/>
            <w:shd w:fill="F2F2F2" w:val="clear"/>
            <w:tcMar>
              <w:top w:type="dxa" w:w="80"/>
              <w:left w:type="dxa" w:w="120"/>
              <w:bottom w:type="dxa" w:w="80"/>
              <w:right w:type="dxa" w:w="120"/>
            </w:tcMar>
            <w:vAlign w:val="center"/>
          </w:tcPr>
          <w:p>
            <w:r>
              <w:rPr>
                <w:b w:val="false"/>
                <w:bCs w:val="false"/>
                <w:color w:val="1A1A1A"/>
                <w:sz w:val="20"/>
                <w:szCs w:val="20"/>
              </w:rPr>
              <w:t xml:space="preserve">D365FO</w:t>
            </w:r>
          </w:p>
        </w:tc>
        <w:tc>
          <w:tcPr>
            <w:tcW w:type="dxa" w:w="7760"/>
            <w:shd w:fill="F2F2F2" w:val="clear"/>
            <w:tcMar>
              <w:top w:type="dxa" w:w="80"/>
              <w:left w:type="dxa" w:w="120"/>
              <w:bottom w:type="dxa" w:w="80"/>
              <w:right w:type="dxa" w:w="120"/>
            </w:tcMar>
            <w:vAlign w:val="center"/>
          </w:tcPr>
          <w:p>
            <w:r>
              <w:rPr>
                <w:b w:val="false"/>
                <w:bCs w:val="false"/>
                <w:color w:val="1A1A1A"/>
                <w:sz w:val="20"/>
                <w:szCs w:val="20"/>
              </w:rPr>
              <w:t xml:space="preserve">Microsoft Dynamics 365 Finance &amp; Operations — source ERP/CRM for customer, product, and sales master data</w:t>
            </w:r>
          </w:p>
        </w:tc>
      </w:tr>
      <w:tr>
        <w:tc>
          <w:tcPr>
            <w:tcW w:type="dxa" w:w="1600"/>
            <w:tcMar>
              <w:top w:type="dxa" w:w="80"/>
              <w:left w:type="dxa" w:w="120"/>
              <w:bottom w:type="dxa" w:w="80"/>
              <w:right w:type="dxa" w:w="120"/>
            </w:tcMar>
            <w:vAlign w:val="center"/>
          </w:tcPr>
          <w:p>
            <w:r>
              <w:rPr>
                <w:b w:val="false"/>
                <w:bCs w:val="false"/>
                <w:color w:val="1A1A1A"/>
                <w:sz w:val="20"/>
                <w:szCs w:val="20"/>
              </w:rPr>
              <w:t xml:space="preserve">CUAS</w:t>
            </w:r>
          </w:p>
        </w:tc>
        <w:tc>
          <w:tcPr>
            <w:tcW w:type="dxa" w:w="7760"/>
            <w:tcMar>
              <w:top w:type="dxa" w:w="80"/>
              <w:left w:type="dxa" w:w="120"/>
              <w:bottom w:type="dxa" w:w="80"/>
              <w:right w:type="dxa" w:w="120"/>
            </w:tcMar>
            <w:vAlign w:val="center"/>
          </w:tcPr>
          <w:p>
            <w:r>
              <w:rPr>
                <w:b w:val="false"/>
                <w:bCs w:val="false"/>
                <w:color w:val="1A1A1A"/>
                <w:sz w:val="20"/>
                <w:szCs w:val="20"/>
              </w:rPr>
              <w:t xml:space="preserve">Corporate User Access System — provides SSO login and role claims</w:t>
            </w:r>
          </w:p>
        </w:tc>
      </w:tr>
      <w:tr>
        <w:tc>
          <w:tcPr>
            <w:tcW w:type="dxa" w:w="1600"/>
            <w:shd w:fill="F2F2F2" w:val="clear"/>
            <w:tcMar>
              <w:top w:type="dxa" w:w="80"/>
              <w:left w:type="dxa" w:w="120"/>
              <w:bottom w:type="dxa" w:w="80"/>
              <w:right w:type="dxa" w:w="120"/>
            </w:tcMar>
            <w:vAlign w:val="center"/>
          </w:tcPr>
          <w:p>
            <w:r>
              <w:rPr>
                <w:b w:val="false"/>
                <w:bCs w:val="false"/>
                <w:color w:val="1A1A1A"/>
                <w:sz w:val="20"/>
                <w:szCs w:val="20"/>
              </w:rPr>
              <w:t xml:space="preserve">CNS</w:t>
            </w:r>
          </w:p>
        </w:tc>
        <w:tc>
          <w:tcPr>
            <w:tcW w:type="dxa" w:w="7760"/>
            <w:shd w:fill="F2F2F2" w:val="clear"/>
            <w:tcMar>
              <w:top w:type="dxa" w:w="80"/>
              <w:left w:type="dxa" w:w="120"/>
              <w:bottom w:type="dxa" w:w="80"/>
              <w:right w:type="dxa" w:w="120"/>
            </w:tcMar>
            <w:vAlign w:val="center"/>
          </w:tcPr>
          <w:p>
            <w:r>
              <w:rPr>
                <w:b w:val="false"/>
                <w:bCs w:val="false"/>
                <w:color w:val="1A1A1A"/>
                <w:sz w:val="20"/>
                <w:szCs w:val="20"/>
              </w:rPr>
              <w:t xml:space="preserve">Corporate Notification System — sends email, SMS, and WhatsApp notifications</w:t>
            </w:r>
          </w:p>
        </w:tc>
      </w:tr>
    </w:tbl>
    <w:p>
      <w:pPr>
        <w:pStyle w:val="Heading1"/>
        <w:pBdr>
          <w:bottom w:val="single" w:color="1F4E79" w:sz="8" w:space="4"/>
        </w:pBdr>
        <w:spacing w:after="160" w:before="360"/>
      </w:pPr>
      <w:r>
        <w:rPr>
          <w:b/>
          <w:bCs/>
          <w:color w:val="1F4E79"/>
          <w:sz w:val="30"/>
          <w:szCs w:val="30"/>
        </w:rPr>
        <w:t xml:space="preserve">2. Functional Overview</w:t>
      </w:r>
    </w:p>
    <w:p>
      <w:pPr>
        <w:pStyle w:val="Heading2"/>
        <w:spacing w:after="120" w:before="260"/>
      </w:pPr>
      <w:r>
        <w:rPr>
          <w:b/>
          <w:bCs/>
          <w:color w:val="1F4E79"/>
          <w:sz w:val="25"/>
          <w:szCs w:val="25"/>
        </w:rPr>
        <w:t xml:space="preserve">2.1 Actors / Roles</w:t>
      </w:r>
    </w:p>
    <w:p>
      <w:pPr>
        <w:spacing w:after="160" w:line="276"/>
      </w:pPr>
      <w:r>
        <w:rPr>
          <w:b w:val="false"/>
          <w:bCs w:val="false"/>
          <w:i w:val="false"/>
          <w:iCs w:val="false"/>
          <w:color w:val="1A1A1A"/>
          <w:sz w:val="21"/>
          <w:szCs w:val="21"/>
        </w:rPr>
        <w:t xml:space="preserve">The following actors appear across the epics in this document. Their formal permissions are defined in the Security Matrix; roles are listed here only to scope who performs each functional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80"/>
              <w:left w:type="dxa" w:w="120"/>
              <w:bottom w:type="dxa" w:w="80"/>
              <w:right w:type="dxa" w:w="120"/>
            </w:tcMar>
            <w:vAlign w:val="center"/>
          </w:tcPr>
          <w:p>
            <w:r>
              <w:rPr>
                <w:b/>
                <w:bCs/>
                <w:color w:val="FFFFFF"/>
                <w:sz w:val="20"/>
                <w:szCs w:val="20"/>
              </w:rPr>
              <w:t xml:space="preserve">Actor</w:t>
            </w:r>
          </w:p>
        </w:tc>
        <w:tc>
          <w:tcPr>
            <w:tcW w:type="dxa" w:w="6360"/>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3000"/>
            <w:tcMar>
              <w:top w:type="dxa" w:w="80"/>
              <w:left w:type="dxa" w:w="120"/>
              <w:bottom w:type="dxa" w:w="80"/>
              <w:right w:type="dxa" w:w="120"/>
            </w:tcMar>
            <w:vAlign w:val="center"/>
          </w:tcPr>
          <w:p>
            <w:r>
              <w:rPr>
                <w:b w:val="false"/>
                <w:bCs w:val="false"/>
                <w:color w:val="1A1A1A"/>
                <w:sz w:val="20"/>
                <w:szCs w:val="20"/>
              </w:rPr>
              <w:t xml:space="preserve">Field / Marketing Officer</w:t>
            </w:r>
          </w:p>
        </w:tc>
        <w:tc>
          <w:tcPr>
            <w:tcW w:type="dxa" w:w="6360"/>
            <w:tcMar>
              <w:top w:type="dxa" w:w="80"/>
              <w:left w:type="dxa" w:w="120"/>
              <w:bottom w:type="dxa" w:w="80"/>
              <w:right w:type="dxa" w:w="120"/>
            </w:tcMar>
            <w:vAlign w:val="center"/>
          </w:tcPr>
          <w:p>
            <w:r>
              <w:rPr>
                <w:b w:val="false"/>
                <w:bCs w:val="false"/>
                <w:color w:val="1A1A1A"/>
                <w:sz w:val="20"/>
                <w:szCs w:val="20"/>
              </w:rPr>
              <w:t xml:space="preserve">Submits market visit reports, survey responses, and competitor pricing</w:t>
            </w:r>
          </w:p>
        </w:tc>
      </w:tr>
      <w:tr>
        <w:tc>
          <w:tcPr>
            <w:tcW w:type="dxa" w:w="3000"/>
            <w:shd w:fill="F2F2F2" w:val="clear"/>
            <w:tcMar>
              <w:top w:type="dxa" w:w="80"/>
              <w:left w:type="dxa" w:w="120"/>
              <w:bottom w:type="dxa" w:w="80"/>
              <w:right w:type="dxa" w:w="120"/>
            </w:tcMar>
            <w:vAlign w:val="center"/>
          </w:tcPr>
          <w:p>
            <w:r>
              <w:rPr>
                <w:b w:val="false"/>
                <w:bCs w:val="false"/>
                <w:color w:val="1A1A1A"/>
                <w:sz w:val="20"/>
                <w:szCs w:val="20"/>
              </w:rPr>
              <w:t xml:space="preserve">Marketing Analyst</w:t>
            </w:r>
          </w:p>
        </w:tc>
        <w:tc>
          <w:tcPr>
            <w:tcW w:type="dxa" w:w="6360"/>
            <w:shd w:fill="F2F2F2" w:val="clear"/>
            <w:tcMar>
              <w:top w:type="dxa" w:w="80"/>
              <w:left w:type="dxa" w:w="120"/>
              <w:bottom w:type="dxa" w:w="80"/>
              <w:right w:type="dxa" w:w="120"/>
            </w:tcMar>
            <w:vAlign w:val="center"/>
          </w:tcPr>
          <w:p>
            <w:r>
              <w:rPr>
                <w:b w:val="false"/>
                <w:bCs w:val="false"/>
                <w:color w:val="1A1A1A"/>
                <w:sz w:val="20"/>
                <w:szCs w:val="20"/>
              </w:rPr>
              <w:t xml:space="preserve">Builds/edits surveys, views dashboards and price comparisons</w:t>
            </w:r>
          </w:p>
        </w:tc>
      </w:tr>
      <w:tr>
        <w:tc>
          <w:tcPr>
            <w:tcW w:type="dxa" w:w="3000"/>
            <w:tcMar>
              <w:top w:type="dxa" w:w="80"/>
              <w:left w:type="dxa" w:w="120"/>
              <w:bottom w:type="dxa" w:w="80"/>
              <w:right w:type="dxa" w:w="120"/>
            </w:tcMar>
            <w:vAlign w:val="center"/>
          </w:tcPr>
          <w:p>
            <w:r>
              <w:rPr>
                <w:b w:val="false"/>
                <w:bCs w:val="false"/>
                <w:color w:val="1A1A1A"/>
                <w:sz w:val="20"/>
                <w:szCs w:val="20"/>
              </w:rPr>
              <w:t xml:space="preserve">Marketing Manager</w:t>
            </w:r>
          </w:p>
        </w:tc>
        <w:tc>
          <w:tcPr>
            <w:tcW w:type="dxa" w:w="6360"/>
            <w:tcMar>
              <w:top w:type="dxa" w:w="80"/>
              <w:left w:type="dxa" w:w="120"/>
              <w:bottom w:type="dxa" w:w="80"/>
              <w:right w:type="dxa" w:w="120"/>
            </w:tcMar>
            <w:vAlign w:val="center"/>
          </w:tcPr>
          <w:p>
            <w:r>
              <w:rPr>
                <w:b w:val="false"/>
                <w:bCs w:val="false"/>
                <w:color w:val="1A1A1A"/>
                <w:sz w:val="20"/>
                <w:szCs w:val="20"/>
              </w:rPr>
              <w:t xml:space="preserve">Publishes surveys, reviews reports, receives alerts</w:t>
            </w:r>
          </w:p>
        </w:tc>
      </w:tr>
      <w:tr>
        <w:tc>
          <w:tcPr>
            <w:tcW w:type="dxa" w:w="3000"/>
            <w:shd w:fill="F2F2F2" w:val="clear"/>
            <w:tcMar>
              <w:top w:type="dxa" w:w="80"/>
              <w:left w:type="dxa" w:w="120"/>
              <w:bottom w:type="dxa" w:w="80"/>
              <w:right w:type="dxa" w:w="120"/>
            </w:tcMar>
            <w:vAlign w:val="center"/>
          </w:tcPr>
          <w:p>
            <w:r>
              <w:rPr>
                <w:b w:val="false"/>
                <w:bCs w:val="false"/>
                <w:color w:val="1A1A1A"/>
                <w:sz w:val="20"/>
                <w:szCs w:val="20"/>
              </w:rPr>
              <w:t xml:space="preserve">System Administrator</w:t>
            </w:r>
          </w:p>
        </w:tc>
        <w:tc>
          <w:tcPr>
            <w:tcW w:type="dxa" w:w="6360"/>
            <w:shd w:fill="F2F2F2" w:val="clear"/>
            <w:tcMar>
              <w:top w:type="dxa" w:w="80"/>
              <w:left w:type="dxa" w:w="120"/>
              <w:bottom w:type="dxa" w:w="80"/>
              <w:right w:type="dxa" w:w="120"/>
            </w:tcMar>
            <w:vAlign w:val="center"/>
          </w:tcPr>
          <w:p>
            <w:r>
              <w:rPr>
                <w:b w:val="false"/>
                <w:bCs w:val="false"/>
                <w:color w:val="1A1A1A"/>
                <w:sz w:val="20"/>
                <w:szCs w:val="20"/>
              </w:rPr>
              <w:t xml:space="preserve">Manages master data sync, role mapping, notification configuration</w:t>
            </w:r>
          </w:p>
        </w:tc>
      </w:tr>
      <w:tr>
        <w:tc>
          <w:tcPr>
            <w:tcW w:type="dxa" w:w="3000"/>
            <w:tcMar>
              <w:top w:type="dxa" w:w="80"/>
              <w:left w:type="dxa" w:w="120"/>
              <w:bottom w:type="dxa" w:w="80"/>
              <w:right w:type="dxa" w:w="120"/>
            </w:tcMar>
            <w:vAlign w:val="center"/>
          </w:tcPr>
          <w:p>
            <w:r>
              <w:rPr>
                <w:b w:val="false"/>
                <w:bCs w:val="false"/>
                <w:color w:val="1A1A1A"/>
                <w:sz w:val="20"/>
                <w:szCs w:val="20"/>
              </w:rPr>
              <w:t xml:space="preserve">Viewer / Executive</w:t>
            </w:r>
          </w:p>
        </w:tc>
        <w:tc>
          <w:tcPr>
            <w:tcW w:type="dxa" w:w="6360"/>
            <w:tcMar>
              <w:top w:type="dxa" w:w="80"/>
              <w:left w:type="dxa" w:w="120"/>
              <w:bottom w:type="dxa" w:w="80"/>
              <w:right w:type="dxa" w:w="120"/>
            </w:tcMar>
            <w:vAlign w:val="center"/>
          </w:tcPr>
          <w:p>
            <w:r>
              <w:rPr>
                <w:b w:val="false"/>
                <w:bCs w:val="false"/>
                <w:color w:val="1A1A1A"/>
                <w:sz w:val="20"/>
                <w:szCs w:val="20"/>
              </w:rPr>
              <w:t xml:space="preserve">Read-only access to dashboards and summary reports</w:t>
            </w:r>
          </w:p>
        </w:tc>
      </w:tr>
      <w:tr>
        <w:tc>
          <w:tcPr>
            <w:tcW w:type="dxa" w:w="3000"/>
            <w:shd w:fill="F2F2F2" w:val="clear"/>
            <w:tcMar>
              <w:top w:type="dxa" w:w="80"/>
              <w:left w:type="dxa" w:w="120"/>
              <w:bottom w:type="dxa" w:w="80"/>
              <w:right w:type="dxa" w:w="120"/>
            </w:tcMar>
            <w:vAlign w:val="center"/>
          </w:tcPr>
          <w:p>
            <w:r>
              <w:rPr>
                <w:b w:val="false"/>
                <w:bCs w:val="false"/>
                <w:color w:val="1A1A1A"/>
                <w:sz w:val="20"/>
                <w:szCs w:val="20"/>
              </w:rPr>
              <w:t xml:space="preserve">System</w:t>
            </w:r>
          </w:p>
        </w:tc>
        <w:tc>
          <w:tcPr>
            <w:tcW w:type="dxa" w:w="6360"/>
            <w:shd w:fill="F2F2F2" w:val="clear"/>
            <w:tcMar>
              <w:top w:type="dxa" w:w="80"/>
              <w:left w:type="dxa" w:w="120"/>
              <w:bottom w:type="dxa" w:w="80"/>
              <w:right w:type="dxa" w:w="120"/>
            </w:tcMar>
            <w:vAlign w:val="center"/>
          </w:tcPr>
          <w:p>
            <w:r>
              <w:rPr>
                <w:b w:val="false"/>
                <w:bCs w:val="false"/>
                <w:color w:val="1A1A1A"/>
                <w:sz w:val="20"/>
                <w:szCs w:val="20"/>
              </w:rPr>
              <w:t xml:space="preserve">Automated actor for scheduled jobs — D365FO sync, CNS notification triggers</w:t>
            </w:r>
          </w:p>
        </w:tc>
      </w:tr>
    </w:tbl>
    <w:p>
      <w:pPr>
        <w:pStyle w:val="Heading2"/>
        <w:spacing w:after="120" w:before="260"/>
      </w:pPr>
      <w:r>
        <w:rPr>
          <w:b/>
          <w:bCs/>
          <w:color w:val="1F4E79"/>
          <w:sz w:val="25"/>
          <w:szCs w:val="25"/>
        </w:rPr>
        <w:t xml:space="preserve">2.2 Epic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560"/>
        <w:gridCol w:w="1400"/>
      </w:tblGrid>
      <w:tr>
        <w:trPr>
          <w:tblHeader/>
        </w:trPr>
        <w:tc>
          <w:tcPr>
            <w:tcW w:type="dxa" w:w="3400"/>
            <w:shd w:fill="1F4E79" w:val="clear"/>
            <w:tcMar>
              <w:top w:type="dxa" w:w="80"/>
              <w:left w:type="dxa" w:w="120"/>
              <w:bottom w:type="dxa" w:w="80"/>
              <w:right w:type="dxa" w:w="120"/>
            </w:tcMar>
            <w:vAlign w:val="center"/>
          </w:tcPr>
          <w:p>
            <w:r>
              <w:rPr>
                <w:b/>
                <w:bCs/>
                <w:color w:val="FFFFFF"/>
                <w:sz w:val="20"/>
                <w:szCs w:val="20"/>
              </w:rPr>
              <w:t xml:space="preserve">Epic</w:t>
            </w:r>
          </w:p>
        </w:tc>
        <w:tc>
          <w:tcPr>
            <w:tcW w:type="dxa" w:w="4560"/>
            <w:shd w:fill="1F4E79" w:val="clear"/>
            <w:tcMar>
              <w:top w:type="dxa" w:w="80"/>
              <w:left w:type="dxa" w:w="120"/>
              <w:bottom w:type="dxa" w:w="80"/>
              <w:right w:type="dxa" w:w="120"/>
            </w:tcMar>
            <w:vAlign w:val="center"/>
          </w:tcPr>
          <w:p>
            <w:r>
              <w:rPr>
                <w:b/>
                <w:bCs/>
                <w:color w:val="FFFFFF"/>
                <w:sz w:val="20"/>
                <w:szCs w:val="20"/>
              </w:rPr>
              <w:t xml:space="preserve">Purpose</w:t>
            </w:r>
          </w:p>
        </w:tc>
        <w:tc>
          <w:tcPr>
            <w:tcW w:type="dxa" w:w="1400"/>
            <w:shd w:fill="1F4E79" w:val="clear"/>
            <w:tcMar>
              <w:top w:type="dxa" w:w="80"/>
              <w:left w:type="dxa" w:w="120"/>
              <w:bottom w:type="dxa" w:w="80"/>
              <w:right w:type="dxa" w:w="120"/>
            </w:tcMar>
            <w:vAlign w:val="center"/>
          </w:tcPr>
          <w:p>
            <w:r>
              <w:rPr>
                <w:b/>
                <w:bCs/>
                <w:color w:val="FFFFFF"/>
                <w:sz w:val="20"/>
                <w:szCs w:val="20"/>
              </w:rPr>
              <w:t xml:space="preserve">FR Range</w:t>
            </w:r>
          </w:p>
        </w:tc>
      </w:tr>
      <w:tr>
        <w:tc>
          <w:tcPr>
            <w:tcW w:type="dxa" w:w="3400"/>
            <w:tcMar>
              <w:top w:type="dxa" w:w="80"/>
              <w:left w:type="dxa" w:w="120"/>
              <w:bottom w:type="dxa" w:w="80"/>
              <w:right w:type="dxa" w:w="120"/>
            </w:tcMar>
            <w:vAlign w:val="center"/>
          </w:tcPr>
          <w:p>
            <w:r>
              <w:rPr>
                <w:b w:val="false"/>
                <w:bCs w:val="false"/>
                <w:color w:val="1A1A1A"/>
                <w:sz w:val="20"/>
                <w:szCs w:val="20"/>
              </w:rPr>
              <w:t xml:space="preserve">EPIC-01 — Survey &amp; Questionnaire Builder</w:t>
            </w:r>
          </w:p>
        </w:tc>
        <w:tc>
          <w:tcPr>
            <w:tcW w:type="dxa" w:w="4560"/>
            <w:tcMar>
              <w:top w:type="dxa" w:w="80"/>
              <w:left w:type="dxa" w:w="120"/>
              <w:bottom w:type="dxa" w:w="80"/>
              <w:right w:type="dxa" w:w="120"/>
            </w:tcMar>
            <w:vAlign w:val="center"/>
          </w:tcPr>
          <w:p>
            <w:r>
              <w:rPr>
                <w:b w:val="false"/>
                <w:bCs w:val="false"/>
                <w:color w:val="1A1A1A"/>
                <w:sz w:val="20"/>
                <w:szCs w:val="20"/>
              </w:rPr>
              <w:t xml:space="preserve">Structured surveys replacing ad-hoc paper/manual interviews</w:t>
            </w:r>
          </w:p>
        </w:tc>
        <w:tc>
          <w:tcPr>
            <w:tcW w:type="dxa" w:w="1400"/>
            <w:tcMar>
              <w:top w:type="dxa" w:w="80"/>
              <w:left w:type="dxa" w:w="120"/>
              <w:bottom w:type="dxa" w:w="80"/>
              <w:right w:type="dxa" w:w="120"/>
            </w:tcMar>
            <w:vAlign w:val="center"/>
          </w:tcPr>
          <w:p>
            <w:r>
              <w:rPr>
                <w:b w:val="false"/>
                <w:bCs w:val="false"/>
                <w:color w:val="1A1A1A"/>
                <w:sz w:val="20"/>
                <w:szCs w:val="20"/>
              </w:rPr>
              <w:t xml:space="preserve">FR-01.1–FR-01.8</w:t>
            </w:r>
          </w:p>
        </w:tc>
      </w:tr>
      <w:tr>
        <w:tc>
          <w:tcPr>
            <w:tcW w:type="dxa" w:w="3400"/>
            <w:shd w:fill="F2F2F2" w:val="clear"/>
            <w:tcMar>
              <w:top w:type="dxa" w:w="80"/>
              <w:left w:type="dxa" w:w="120"/>
              <w:bottom w:type="dxa" w:w="80"/>
              <w:right w:type="dxa" w:w="120"/>
            </w:tcMar>
            <w:vAlign w:val="center"/>
          </w:tcPr>
          <w:p>
            <w:r>
              <w:rPr>
                <w:b w:val="false"/>
                <w:bCs w:val="false"/>
                <w:color w:val="1A1A1A"/>
                <w:sz w:val="20"/>
                <w:szCs w:val="20"/>
              </w:rPr>
              <w:t xml:space="preserve">EPIC-02 — Competitor &amp; Pricing Module</w:t>
            </w:r>
          </w:p>
        </w:tc>
        <w:tc>
          <w:tcPr>
            <w:tcW w:type="dxa" w:w="4560"/>
            <w:shd w:fill="F2F2F2" w:val="clear"/>
            <w:tcMar>
              <w:top w:type="dxa" w:w="80"/>
              <w:left w:type="dxa" w:w="120"/>
              <w:bottom w:type="dxa" w:w="80"/>
              <w:right w:type="dxa" w:w="120"/>
            </w:tcMar>
            <w:vAlign w:val="center"/>
          </w:tcPr>
          <w:p>
            <w:r>
              <w:rPr>
                <w:b w:val="false"/>
                <w:bCs w:val="false"/>
                <w:color w:val="1A1A1A"/>
                <w:sz w:val="20"/>
                <w:szCs w:val="20"/>
              </w:rPr>
              <w:t xml:space="preserve">Competitor price capture and gap analysis vs. own D365FO pricing</w:t>
            </w:r>
          </w:p>
        </w:tc>
        <w:tc>
          <w:tcPr>
            <w:tcW w:type="dxa" w:w="1400"/>
            <w:shd w:fill="F2F2F2" w:val="clear"/>
            <w:tcMar>
              <w:top w:type="dxa" w:w="80"/>
              <w:left w:type="dxa" w:w="120"/>
              <w:bottom w:type="dxa" w:w="80"/>
              <w:right w:type="dxa" w:w="120"/>
            </w:tcMar>
            <w:vAlign w:val="center"/>
          </w:tcPr>
          <w:p>
            <w:r>
              <w:rPr>
                <w:b w:val="false"/>
                <w:bCs w:val="false"/>
                <w:color w:val="1A1A1A"/>
                <w:sz w:val="20"/>
                <w:szCs w:val="20"/>
              </w:rPr>
              <w:t xml:space="preserve">FR-02.1–FR-02.6</w:t>
            </w:r>
          </w:p>
        </w:tc>
      </w:tr>
      <w:tr>
        <w:tc>
          <w:tcPr>
            <w:tcW w:type="dxa" w:w="3400"/>
            <w:tcMar>
              <w:top w:type="dxa" w:w="80"/>
              <w:left w:type="dxa" w:w="120"/>
              <w:bottom w:type="dxa" w:w="80"/>
              <w:right w:type="dxa" w:w="120"/>
            </w:tcMar>
            <w:vAlign w:val="center"/>
          </w:tcPr>
          <w:p>
            <w:r>
              <w:rPr>
                <w:b w:val="false"/>
                <w:bCs w:val="false"/>
                <w:color w:val="1A1A1A"/>
                <w:sz w:val="20"/>
                <w:szCs w:val="20"/>
              </w:rPr>
              <w:t xml:space="preserve">EPIC-03 — D365FO Integration</w:t>
            </w:r>
          </w:p>
        </w:tc>
        <w:tc>
          <w:tcPr>
            <w:tcW w:type="dxa" w:w="4560"/>
            <w:tcMar>
              <w:top w:type="dxa" w:w="80"/>
              <w:left w:type="dxa" w:w="120"/>
              <w:bottom w:type="dxa" w:w="80"/>
              <w:right w:type="dxa" w:w="120"/>
            </w:tcMar>
            <w:vAlign w:val="center"/>
          </w:tcPr>
          <w:p>
            <w:r>
              <w:rPr>
                <w:b w:val="false"/>
                <w:bCs w:val="false"/>
                <w:color w:val="1A1A1A"/>
                <w:sz w:val="20"/>
                <w:szCs w:val="20"/>
              </w:rPr>
              <w:t xml:space="preserve">Authoritative customer/product/sales master data sync</w:t>
            </w:r>
          </w:p>
        </w:tc>
        <w:tc>
          <w:tcPr>
            <w:tcW w:type="dxa" w:w="1400"/>
            <w:tcMar>
              <w:top w:type="dxa" w:w="80"/>
              <w:left w:type="dxa" w:w="120"/>
              <w:bottom w:type="dxa" w:w="80"/>
              <w:right w:type="dxa" w:w="120"/>
            </w:tcMar>
            <w:vAlign w:val="center"/>
          </w:tcPr>
          <w:p>
            <w:r>
              <w:rPr>
                <w:b w:val="false"/>
                <w:bCs w:val="false"/>
                <w:color w:val="1A1A1A"/>
                <w:sz w:val="20"/>
                <w:szCs w:val="20"/>
              </w:rPr>
              <w:t xml:space="preserve">FR-03.1–FR-03.5</w:t>
            </w:r>
          </w:p>
        </w:tc>
      </w:tr>
      <w:tr>
        <w:tc>
          <w:tcPr>
            <w:tcW w:type="dxa" w:w="3400"/>
            <w:shd w:fill="F2F2F2" w:val="clear"/>
            <w:tcMar>
              <w:top w:type="dxa" w:w="80"/>
              <w:left w:type="dxa" w:w="120"/>
              <w:bottom w:type="dxa" w:w="80"/>
              <w:right w:type="dxa" w:w="120"/>
            </w:tcMar>
            <w:vAlign w:val="center"/>
          </w:tcPr>
          <w:p>
            <w:r>
              <w:rPr>
                <w:b w:val="false"/>
                <w:bCs w:val="false"/>
                <w:color w:val="1A1A1A"/>
                <w:sz w:val="20"/>
                <w:szCs w:val="20"/>
              </w:rPr>
              <w:t xml:space="preserve">EPIC-04 — CUAS Integration</w:t>
            </w:r>
          </w:p>
        </w:tc>
        <w:tc>
          <w:tcPr>
            <w:tcW w:type="dxa" w:w="4560"/>
            <w:shd w:fill="F2F2F2" w:val="clear"/>
            <w:tcMar>
              <w:top w:type="dxa" w:w="80"/>
              <w:left w:type="dxa" w:w="120"/>
              <w:bottom w:type="dxa" w:w="80"/>
              <w:right w:type="dxa" w:w="120"/>
            </w:tcMar>
            <w:vAlign w:val="center"/>
          </w:tcPr>
          <w:p>
            <w:r>
              <w:rPr>
                <w:b w:val="false"/>
                <w:bCs w:val="false"/>
                <w:color w:val="1A1A1A"/>
                <w:sz w:val="20"/>
                <w:szCs w:val="20"/>
              </w:rPr>
              <w:t xml:space="preserve">SSO login and role-based access control</w:t>
            </w:r>
          </w:p>
        </w:tc>
        <w:tc>
          <w:tcPr>
            <w:tcW w:type="dxa" w:w="1400"/>
            <w:shd w:fill="F2F2F2" w:val="clear"/>
            <w:tcMar>
              <w:top w:type="dxa" w:w="80"/>
              <w:left w:type="dxa" w:w="120"/>
              <w:bottom w:type="dxa" w:w="80"/>
              <w:right w:type="dxa" w:w="120"/>
            </w:tcMar>
            <w:vAlign w:val="center"/>
          </w:tcPr>
          <w:p>
            <w:r>
              <w:rPr>
                <w:b w:val="false"/>
                <w:bCs w:val="false"/>
                <w:color w:val="1A1A1A"/>
                <w:sz w:val="20"/>
                <w:szCs w:val="20"/>
              </w:rPr>
              <w:t xml:space="preserve">FR-04.1–FR-04.5</w:t>
            </w:r>
          </w:p>
        </w:tc>
      </w:tr>
      <w:tr>
        <w:tc>
          <w:tcPr>
            <w:tcW w:type="dxa" w:w="3400"/>
            <w:tcMar>
              <w:top w:type="dxa" w:w="80"/>
              <w:left w:type="dxa" w:w="120"/>
              <w:bottom w:type="dxa" w:w="80"/>
              <w:right w:type="dxa" w:w="120"/>
            </w:tcMar>
            <w:vAlign w:val="center"/>
          </w:tcPr>
          <w:p>
            <w:r>
              <w:rPr>
                <w:b w:val="false"/>
                <w:bCs w:val="false"/>
                <w:color w:val="1A1A1A"/>
                <w:sz w:val="20"/>
                <w:szCs w:val="20"/>
              </w:rPr>
              <w:t xml:space="preserve">EPIC-05 — CNS Integration</w:t>
            </w:r>
          </w:p>
        </w:tc>
        <w:tc>
          <w:tcPr>
            <w:tcW w:type="dxa" w:w="4560"/>
            <w:tcMar>
              <w:top w:type="dxa" w:w="80"/>
              <w:left w:type="dxa" w:w="120"/>
              <w:bottom w:type="dxa" w:w="80"/>
              <w:right w:type="dxa" w:w="120"/>
            </w:tcMar>
            <w:vAlign w:val="center"/>
          </w:tcPr>
          <w:p>
            <w:r>
              <w:rPr>
                <w:b w:val="false"/>
                <w:bCs w:val="false"/>
                <w:color w:val="1A1A1A"/>
                <w:sz w:val="20"/>
                <w:szCs w:val="20"/>
              </w:rPr>
              <w:t xml:space="preserve">Automatic email/SMS/WhatsApp alerts on trigger events</w:t>
            </w:r>
          </w:p>
        </w:tc>
        <w:tc>
          <w:tcPr>
            <w:tcW w:type="dxa" w:w="1400"/>
            <w:tcMar>
              <w:top w:type="dxa" w:w="80"/>
              <w:left w:type="dxa" w:w="120"/>
              <w:bottom w:type="dxa" w:w="80"/>
              <w:right w:type="dxa" w:w="120"/>
            </w:tcMar>
            <w:vAlign w:val="center"/>
          </w:tcPr>
          <w:p>
            <w:r>
              <w:rPr>
                <w:b w:val="false"/>
                <w:bCs w:val="false"/>
                <w:color w:val="1A1A1A"/>
                <w:sz w:val="20"/>
                <w:szCs w:val="20"/>
              </w:rPr>
              <w:t xml:space="preserve">FR-05.1–FR-05.4</w:t>
            </w:r>
          </w:p>
        </w:tc>
      </w:tr>
      <w:tr>
        <w:tc>
          <w:tcPr>
            <w:tcW w:type="dxa" w:w="3400"/>
            <w:shd w:fill="F2F2F2" w:val="clear"/>
            <w:tcMar>
              <w:top w:type="dxa" w:w="80"/>
              <w:left w:type="dxa" w:w="120"/>
              <w:bottom w:type="dxa" w:w="80"/>
              <w:right w:type="dxa" w:w="120"/>
            </w:tcMar>
            <w:vAlign w:val="center"/>
          </w:tcPr>
          <w:p>
            <w:r>
              <w:rPr>
                <w:b w:val="false"/>
                <w:bCs w:val="false"/>
                <w:color w:val="1A1A1A"/>
                <w:sz w:val="20"/>
                <w:szCs w:val="20"/>
              </w:rPr>
              <w:t xml:space="preserve">EPIC-06 — Power BI Dashboards &amp; Reports</w:t>
            </w:r>
          </w:p>
        </w:tc>
        <w:tc>
          <w:tcPr>
            <w:tcW w:type="dxa" w:w="4560"/>
            <w:shd w:fill="F2F2F2" w:val="clear"/>
            <w:tcMar>
              <w:top w:type="dxa" w:w="80"/>
              <w:left w:type="dxa" w:w="120"/>
              <w:bottom w:type="dxa" w:w="80"/>
              <w:right w:type="dxa" w:w="120"/>
            </w:tcMar>
            <w:vAlign w:val="center"/>
          </w:tcPr>
          <w:p>
            <w:r>
              <w:rPr>
                <w:b w:val="false"/>
                <w:bCs w:val="false"/>
                <w:color w:val="1A1A1A"/>
                <w:sz w:val="20"/>
                <w:szCs w:val="20"/>
              </w:rPr>
              <w:t xml:space="preserve">KPI dashboards and scheduled reports for management</w:t>
            </w:r>
          </w:p>
        </w:tc>
        <w:tc>
          <w:tcPr>
            <w:tcW w:type="dxa" w:w="1400"/>
            <w:shd w:fill="F2F2F2" w:val="clear"/>
            <w:tcMar>
              <w:top w:type="dxa" w:w="80"/>
              <w:left w:type="dxa" w:w="120"/>
              <w:bottom w:type="dxa" w:w="80"/>
              <w:right w:type="dxa" w:w="120"/>
            </w:tcMar>
            <w:vAlign w:val="center"/>
          </w:tcPr>
          <w:p>
            <w:r>
              <w:rPr>
                <w:b w:val="false"/>
                <w:bCs w:val="false"/>
                <w:color w:val="1A1A1A"/>
                <w:sz w:val="20"/>
                <w:szCs w:val="20"/>
              </w:rPr>
              <w:t xml:space="preserve">FR-06.1–FR-06.5</w:t>
            </w:r>
          </w:p>
        </w:tc>
      </w:tr>
    </w:tbl>
    <w:p>
      <w:pPr>
        <w:pStyle w:val="Heading1"/>
        <w:pBdr>
          <w:bottom w:val="single" w:color="1F4E79" w:sz="8" w:space="4"/>
        </w:pBdr>
        <w:spacing w:after="160" w:before="360"/>
      </w:pPr>
      <w:r>
        <w:rPr>
          <w:b/>
          <w:bCs/>
          <w:color w:val="1F4E79"/>
          <w:sz w:val="30"/>
          <w:szCs w:val="30"/>
        </w:rPr>
        <w:t xml:space="preserve">3. EPIC-01 — Survey &amp; Questionnaire Builder</w:t>
      </w:r>
    </w:p>
    <w:p>
      <w:pPr>
        <w:spacing w:after="160" w:line="276"/>
      </w:pPr>
      <w:r>
        <w:rPr>
          <w:b w:val="false"/>
          <w:bCs w:val="false"/>
          <w:i w:val="false"/>
          <w:iCs w:val="false"/>
          <w:color w:val="1A1A1A"/>
          <w:sz w:val="21"/>
          <w:szCs w:val="21"/>
        </w:rPr>
        <w:t xml:space="preserve">Lets Marketing build structured surveys and questionnaires per business unit, and lets field/marketing users respond to them through the portal, replacing ad-hoc paper/manual interviews.</w:t>
      </w:r>
    </w:p>
    <w:p>
      <w:pPr>
        <w:pStyle w:val="Heading2"/>
        <w:spacing w:after="120" w:before="260"/>
      </w:pPr>
      <w:r>
        <w:rPr>
          <w:b/>
          <w:bCs/>
          <w:color w:val="1F4E79"/>
          <w:sz w:val="25"/>
          <w:szCs w:val="25"/>
        </w:rPr>
        <w:t xml:space="preserve">3.1 Actors</w:t>
      </w:r>
    </w:p>
    <w:p>
      <w:pPr>
        <w:pStyle w:val="ListParagraph"/>
        <w:numPr>
          <w:ilvl w:val="0"/>
          <w:numId w:val="1"/>
        </w:numPr>
        <w:spacing w:after="80" w:line="276"/>
      </w:pPr>
      <w:r>
        <w:rPr>
          <w:color w:val="1A1A1A"/>
          <w:sz w:val="21"/>
          <w:szCs w:val="21"/>
        </w:rPr>
        <w:t xml:space="preserve">Marketing Analyst / Manager (builds and publishes surveys)</w:t>
      </w:r>
    </w:p>
    <w:p>
      <w:pPr>
        <w:pStyle w:val="ListParagraph"/>
        <w:numPr>
          <w:ilvl w:val="0"/>
          <w:numId w:val="1"/>
        </w:numPr>
        <w:spacing w:after="80" w:line="276"/>
      </w:pPr>
      <w:r>
        <w:rPr>
          <w:color w:val="1A1A1A"/>
          <w:sz w:val="21"/>
          <w:szCs w:val="21"/>
        </w:rPr>
        <w:t xml:space="preserve">Field / Marketing Officer (submits responses)</w:t>
      </w:r>
    </w:p>
    <w:p>
      <w:pPr>
        <w:pStyle w:val="Heading2"/>
        <w:spacing w:after="120" w:before="260"/>
      </w:pPr>
      <w:r>
        <w:rPr>
          <w:b/>
          <w:bCs/>
          <w:color w:val="1F4E79"/>
          <w:sz w:val="25"/>
          <w:szCs w:val="25"/>
        </w:rPr>
        <w:t xml:space="preserve">3.2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ID</w:t>
            </w:r>
          </w:p>
        </w:tc>
        <w:tc>
          <w:tcPr>
            <w:tcW w:type="dxa" w:w="8160"/>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FR-01.1</w:t>
            </w:r>
          </w:p>
        </w:tc>
        <w:tc>
          <w:tcPr>
            <w:tcW w:type="dxa" w:w="8160"/>
            <w:tcMar>
              <w:top w:type="dxa" w:w="80"/>
              <w:left w:type="dxa" w:w="120"/>
              <w:bottom w:type="dxa" w:w="80"/>
              <w:right w:type="dxa" w:w="120"/>
            </w:tcMar>
            <w:vAlign w:val="center"/>
          </w:tcPr>
          <w:p>
            <w:r>
              <w:rPr>
                <w:b w:val="false"/>
                <w:bCs w:val="false"/>
                <w:color w:val="1A1A1A"/>
                <w:sz w:val="20"/>
                <w:szCs w:val="20"/>
              </w:rPr>
              <w:t xml:space="preserve">Authorized users shall create structured questionnaires tagged to a business unit.</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FR-01.2</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The survey builder shall support question types: single choice, multiple choice, free text, numeric, and rating scale.</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FR-01.3</w:t>
            </w:r>
          </w:p>
        </w:tc>
        <w:tc>
          <w:tcPr>
            <w:tcW w:type="dxa" w:w="8160"/>
            <w:tcMar>
              <w:top w:type="dxa" w:w="80"/>
              <w:left w:type="dxa" w:w="120"/>
              <w:bottom w:type="dxa" w:w="80"/>
              <w:right w:type="dxa" w:w="120"/>
            </w:tcMar>
            <w:vAlign w:val="center"/>
          </w:tcPr>
          <w:p>
            <w:r>
              <w:rPr>
                <w:b w:val="false"/>
                <w:bCs w:val="false"/>
                <w:color w:val="1A1A1A"/>
                <w:sz w:val="20"/>
                <w:szCs w:val="20"/>
              </w:rPr>
              <w:t xml:space="preserve">The survey builder shall support conditional (skip) logic between questions.</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FR-01.4</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Users shall duplicate an existing survey as a starting template for a new one.</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FR-01.5</w:t>
            </w:r>
          </w:p>
        </w:tc>
        <w:tc>
          <w:tcPr>
            <w:tcW w:type="dxa" w:w="8160"/>
            <w:tcMar>
              <w:top w:type="dxa" w:w="80"/>
              <w:left w:type="dxa" w:w="120"/>
              <w:bottom w:type="dxa" w:w="80"/>
              <w:right w:type="dxa" w:w="120"/>
            </w:tcMar>
            <w:vAlign w:val="center"/>
          </w:tcPr>
          <w:p>
            <w:r>
              <w:rPr>
                <w:b w:val="false"/>
                <w:bCs w:val="false"/>
                <w:color w:val="1A1A1A"/>
                <w:sz w:val="20"/>
                <w:szCs w:val="20"/>
              </w:rPr>
              <w:t xml:space="preserve">Field/marketing users shall submit survey responses through the web portal, linked to an outlet/distributor and respondent type.</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FR-01.6</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The system shall track survey and response status: Draft, Published, Submitted, Reviewed.</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FR-01.7</w:t>
            </w:r>
          </w:p>
        </w:tc>
        <w:tc>
          <w:tcPr>
            <w:tcW w:type="dxa" w:w="8160"/>
            <w:tcMar>
              <w:top w:type="dxa" w:w="80"/>
              <w:left w:type="dxa" w:w="120"/>
              <w:bottom w:type="dxa" w:w="80"/>
              <w:right w:type="dxa" w:w="120"/>
            </w:tcMar>
            <w:vAlign w:val="center"/>
          </w:tcPr>
          <w:p>
            <w:r>
              <w:rPr>
                <w:b w:val="false"/>
                <w:bCs w:val="false"/>
                <w:color w:val="1A1A1A"/>
                <w:sz w:val="20"/>
                <w:szCs w:val="20"/>
              </w:rPr>
              <w:t xml:space="preserve">Surveys shall support a satisfaction-scoring question type with a numeric scale.</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FR-01.8</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Only a Marketing Manager or Administrator shall be able to publish or unpublish a survey.</w:t>
            </w:r>
          </w:p>
        </w:tc>
      </w:tr>
    </w:tbl>
    <w:p>
      <w:pPr>
        <w:pStyle w:val="Heading2"/>
        <w:spacing w:after="120" w:before="260"/>
      </w:pPr>
      <w:r>
        <w:rPr>
          <w:b/>
          <w:bCs/>
          <w:color w:val="1F4E79"/>
          <w:sz w:val="25"/>
          <w:szCs w:val="25"/>
        </w:rPr>
        <w:t xml:space="preserve">3.3 Business Rules</w:t>
      </w:r>
    </w:p>
    <w:p>
      <w:pPr>
        <w:pStyle w:val="ListParagraph"/>
        <w:numPr>
          <w:ilvl w:val="0"/>
          <w:numId w:val="1"/>
        </w:numPr>
        <w:spacing w:after="80" w:line="276"/>
      </w:pPr>
      <w:r>
        <w:rPr>
          <w:color w:val="1A1A1A"/>
          <w:sz w:val="21"/>
          <w:szCs w:val="21"/>
        </w:rPr>
        <w:t xml:space="preserve">A survey cannot be edited once it has responses; it must be cloned instead.</w:t>
      </w:r>
    </w:p>
    <w:p>
      <w:pPr>
        <w:pStyle w:val="ListParagraph"/>
        <w:numPr>
          <w:ilvl w:val="0"/>
          <w:numId w:val="1"/>
        </w:numPr>
        <w:spacing w:after="80" w:line="276"/>
      </w:pPr>
      <w:r>
        <w:rPr>
          <w:color w:val="1A1A1A"/>
          <w:sz w:val="21"/>
          <w:szCs w:val="21"/>
        </w:rPr>
        <w:t xml:space="preserve">Mandatory questions must be answered before a response can be submitted.</w:t>
      </w:r>
    </w:p>
    <w:p>
      <w:pPr>
        <w:pStyle w:val="Heading2"/>
        <w:spacing w:after="120" w:before="260"/>
      </w:pPr>
      <w:r>
        <w:rPr>
          <w:b/>
          <w:bCs/>
          <w:color w:val="1F4E79"/>
          <w:sz w:val="25"/>
          <w:szCs w:val="25"/>
        </w:rPr>
        <w:t xml:space="preserve">3.4 Workflow</w:t>
      </w:r>
    </w:p>
    <w:p>
      <w:pPr>
        <w:jc w:val="center"/>
      </w:pPr>
      <w:r>
        <w:drawing>
          <wp:inline distT="0" distB="0" distL="0" distR="0">
            <wp:extent cx="21145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14550" cy="4572000"/>
                    </a:xfrm>
                    <a:prstGeom prst="rect">
                      <a:avLst/>
                    </a:prstGeom>
                  </pic:spPr>
                </pic:pic>
              </a:graphicData>
            </a:graphic>
          </wp:inline>
        </w:drawing>
      </w:r>
    </w:p>
    <w:p>
      <w:pPr>
        <w:spacing w:after="240" w:before="80"/>
        <w:jc w:val="center"/>
      </w:pPr>
      <w:r>
        <w:rPr>
          <w:i/>
          <w:iCs/>
          <w:color w:val="595959"/>
          <w:sz w:val="19"/>
          <w:szCs w:val="19"/>
        </w:rPr>
        <w:t xml:space="preserve">Figure 1 — EPIC-01 — Survey &amp; Questionnaire Builder — Primary Workflow</w:t>
      </w:r>
    </w:p>
    <w:p>
      <w:pPr>
        <w:spacing w:after="160" w:line="276"/>
      </w:pPr>
      <w:r>
        <w:rPr>
          <w:b w:val="false"/>
          <w:bCs w:val="false"/>
          <w:i w:val="false"/>
          <w:iCs w:val="false"/>
          <w:color w:val="1A1A1A"/>
          <w:sz w:val="21"/>
          <w:szCs w:val="21"/>
        </w:rPr>
        <w:t xml:space="preserve">The Manager builds the survey and defines question logic, publishes it, and the Field Officer then opens, answers, and submits it through the portal. The response is stored and becomes available for review and reporting immediately on submission.</w:t>
      </w:r>
    </w:p>
    <w:p>
      <w:pPr>
        <w:pStyle w:val="Heading1"/>
        <w:pBdr>
          <w:bottom w:val="single" w:color="1F4E79" w:sz="8" w:space="4"/>
        </w:pBdr>
        <w:spacing w:after="160" w:before="360"/>
      </w:pPr>
      <w:r>
        <w:rPr>
          <w:b/>
          <w:bCs/>
          <w:color w:val="1F4E79"/>
          <w:sz w:val="30"/>
          <w:szCs w:val="30"/>
        </w:rPr>
        <w:t xml:space="preserve">4. EPIC-02 — Competitor &amp; Pricing Module</w:t>
      </w:r>
    </w:p>
    <w:p>
      <w:pPr>
        <w:spacing w:after="160" w:line="276"/>
      </w:pPr>
      <w:r>
        <w:rPr>
          <w:b w:val="false"/>
          <w:bCs w:val="false"/>
          <w:i w:val="false"/>
          <w:iCs w:val="false"/>
          <w:color w:val="1A1A1A"/>
          <w:sz w:val="21"/>
          <w:szCs w:val="21"/>
        </w:rPr>
        <w:t xml:space="preserve">Lets field staff record competitor prices in the market and lets analysts compare them against Kerchanshe's own prices (sourced from D365FO) to spot pricing gaps.</w:t>
      </w:r>
    </w:p>
    <w:p>
      <w:pPr>
        <w:pStyle w:val="Heading2"/>
        <w:spacing w:after="120" w:before="260"/>
      </w:pPr>
      <w:r>
        <w:rPr>
          <w:b/>
          <w:bCs/>
          <w:color w:val="1F4E79"/>
          <w:sz w:val="25"/>
          <w:szCs w:val="25"/>
        </w:rPr>
        <w:t xml:space="preserve">4.1 Actors</w:t>
      </w:r>
    </w:p>
    <w:p>
      <w:pPr>
        <w:pStyle w:val="ListParagraph"/>
        <w:numPr>
          <w:ilvl w:val="0"/>
          <w:numId w:val="1"/>
        </w:numPr>
        <w:spacing w:after="80" w:line="276"/>
      </w:pPr>
      <w:r>
        <w:rPr>
          <w:color w:val="1A1A1A"/>
          <w:sz w:val="21"/>
          <w:szCs w:val="21"/>
        </w:rPr>
        <w:t xml:space="preserve">Field / Marketing Officer (records competitor prices)</w:t>
      </w:r>
    </w:p>
    <w:p>
      <w:pPr>
        <w:pStyle w:val="ListParagraph"/>
        <w:numPr>
          <w:ilvl w:val="0"/>
          <w:numId w:val="1"/>
        </w:numPr>
        <w:spacing w:after="80" w:line="276"/>
      </w:pPr>
      <w:r>
        <w:rPr>
          <w:color w:val="1A1A1A"/>
          <w:sz w:val="21"/>
          <w:szCs w:val="21"/>
        </w:rPr>
        <w:t xml:space="preserve">Marketing Analyst / Manager (views comparisons and gap alerts)</w:t>
      </w:r>
    </w:p>
    <w:p>
      <w:pPr>
        <w:pStyle w:val="Heading2"/>
        <w:spacing w:after="120" w:before="260"/>
      </w:pPr>
      <w:r>
        <w:rPr>
          <w:b/>
          <w:bCs/>
          <w:color w:val="1F4E79"/>
          <w:sz w:val="25"/>
          <w:szCs w:val="25"/>
        </w:rPr>
        <w:t xml:space="preserve">4.2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ID</w:t>
            </w:r>
          </w:p>
        </w:tc>
        <w:tc>
          <w:tcPr>
            <w:tcW w:type="dxa" w:w="8160"/>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FR-02.1</w:t>
            </w:r>
          </w:p>
        </w:tc>
        <w:tc>
          <w:tcPr>
            <w:tcW w:type="dxa" w:w="8160"/>
            <w:tcMar>
              <w:top w:type="dxa" w:w="80"/>
              <w:left w:type="dxa" w:w="120"/>
              <w:bottom w:type="dxa" w:w="80"/>
              <w:right w:type="dxa" w:w="120"/>
            </w:tcMar>
            <w:vAlign w:val="center"/>
          </w:tcPr>
          <w:p>
            <w:r>
              <w:rPr>
                <w:b w:val="false"/>
                <w:bCs w:val="false"/>
                <w:color w:val="1A1A1A"/>
                <w:sz w:val="20"/>
                <w:szCs w:val="20"/>
              </w:rPr>
              <w:t xml:space="preserve">Users shall record competitor product pricing by outlet, region, competitor name, and date.</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FR-02.2</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The system shall retrieve Kerchanshe's own product pricing from D365FO for comparison.</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FR-02.3</w:t>
            </w:r>
          </w:p>
        </w:tc>
        <w:tc>
          <w:tcPr>
            <w:tcW w:type="dxa" w:w="8160"/>
            <w:tcMar>
              <w:top w:type="dxa" w:w="80"/>
              <w:left w:type="dxa" w:w="120"/>
              <w:bottom w:type="dxa" w:w="80"/>
              <w:right w:type="dxa" w:w="120"/>
            </w:tcMar>
            <w:vAlign w:val="center"/>
          </w:tcPr>
          <w:p>
            <w:r>
              <w:rPr>
                <w:b w:val="false"/>
                <w:bCs w:val="false"/>
                <w:color w:val="1A1A1A"/>
                <w:sz w:val="20"/>
                <w:szCs w:val="20"/>
              </w:rPr>
              <w:t xml:space="preserve">The system shall calculate and display the price gap (own vs. competitor) per product and region.</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FR-02.4</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The system shall flag a price gap that exceeds a configurable threshold.</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FR-02.5</w:t>
            </w:r>
          </w:p>
        </w:tc>
        <w:tc>
          <w:tcPr>
            <w:tcW w:type="dxa" w:w="8160"/>
            <w:tcMar>
              <w:top w:type="dxa" w:w="80"/>
              <w:left w:type="dxa" w:w="120"/>
              <w:bottom w:type="dxa" w:w="80"/>
              <w:right w:type="dxa" w:w="120"/>
            </w:tcMar>
            <w:vAlign w:val="center"/>
          </w:tcPr>
          <w:p>
            <w:r>
              <w:rPr>
                <w:b w:val="false"/>
                <w:bCs w:val="false"/>
                <w:color w:val="1A1A1A"/>
                <w:sz w:val="20"/>
                <w:szCs w:val="20"/>
              </w:rPr>
              <w:t xml:space="preserve">Users shall filter price comparisons by product, region, competitor, and time period.</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FR-02.6</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The system shall retain historical competitor pricing for trend analysis.</w:t>
            </w:r>
          </w:p>
        </w:tc>
      </w:tr>
    </w:tbl>
    <w:p>
      <w:pPr>
        <w:pStyle w:val="Heading2"/>
        <w:spacing w:after="120" w:before="260"/>
      </w:pPr>
      <w:r>
        <w:rPr>
          <w:b/>
          <w:bCs/>
          <w:color w:val="1F4E79"/>
          <w:sz w:val="25"/>
          <w:szCs w:val="25"/>
        </w:rPr>
        <w:t xml:space="preserve">4.3 Business Rules</w:t>
      </w:r>
    </w:p>
    <w:p>
      <w:pPr>
        <w:pStyle w:val="ListParagraph"/>
        <w:numPr>
          <w:ilvl w:val="0"/>
          <w:numId w:val="1"/>
        </w:numPr>
        <w:spacing w:after="80" w:line="276"/>
      </w:pPr>
      <w:r>
        <w:rPr>
          <w:color w:val="1A1A1A"/>
          <w:sz w:val="21"/>
          <w:szCs w:val="21"/>
        </w:rPr>
        <w:t xml:space="preserve">A competitor price entry must reference a valid product (synced from D365FO) and region.</w:t>
      </w:r>
    </w:p>
    <w:p>
      <w:pPr>
        <w:pStyle w:val="ListParagraph"/>
        <w:numPr>
          <w:ilvl w:val="0"/>
          <w:numId w:val="1"/>
        </w:numPr>
        <w:spacing w:after="80" w:line="276"/>
      </w:pPr>
      <w:r>
        <w:rPr>
          <w:color w:val="1A1A1A"/>
          <w:sz w:val="21"/>
          <w:szCs w:val="21"/>
        </w:rPr>
        <w:t xml:space="preserve">Price gap thresholds are configurable per product category by an Administrator.</w:t>
      </w:r>
    </w:p>
    <w:p>
      <w:pPr>
        <w:pStyle w:val="Heading2"/>
        <w:spacing w:after="120" w:before="260"/>
      </w:pPr>
      <w:r>
        <w:rPr>
          <w:b/>
          <w:bCs/>
          <w:color w:val="1F4E79"/>
          <w:sz w:val="25"/>
          <w:szCs w:val="25"/>
        </w:rPr>
        <w:t xml:space="preserve">4.4 Workflow</w:t>
      </w:r>
    </w:p>
    <w:p>
      <w:pPr>
        <w:jc w:val="center"/>
      </w:pPr>
      <w:r>
        <w:drawing>
          <wp:inline distT="0" distB="0" distL="0" distR="0">
            <wp:extent cx="5715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962025"/>
                    </a:xfrm>
                    <a:prstGeom prst="rect">
                      <a:avLst/>
                    </a:prstGeom>
                  </pic:spPr>
                </pic:pic>
              </a:graphicData>
            </a:graphic>
          </wp:inline>
        </w:drawing>
      </w:r>
    </w:p>
    <w:p>
      <w:pPr>
        <w:spacing w:after="240" w:before="80"/>
        <w:jc w:val="center"/>
      </w:pPr>
      <w:r>
        <w:rPr>
          <w:i/>
          <w:iCs/>
          <w:color w:val="595959"/>
          <w:sz w:val="19"/>
          <w:szCs w:val="19"/>
        </w:rPr>
        <w:t xml:space="preserve">Figure 2 — EPIC-02 — Competitor &amp; Pricing Module — Primary Workflow</w:t>
      </w:r>
    </w:p>
    <w:p>
      <w:pPr>
        <w:spacing w:after="160" w:line="276"/>
      </w:pPr>
      <w:r>
        <w:rPr>
          <w:b w:val="false"/>
          <w:bCs w:val="false"/>
          <w:i w:val="false"/>
          <w:iCs w:val="false"/>
          <w:color w:val="1A1A1A"/>
          <w:sz w:val="21"/>
          <w:szCs w:val="21"/>
        </w:rPr>
        <w:t xml:space="preserve">The Field Officer records a competitor price at an outlet; the system matches it to the equivalent own product price pulled from D365FO and calculates the gap. If the gap exceeds the configured threshold it is flagged on the Analyst's comparison dashboard; otherwise it is simply retained for trend history.</w:t>
      </w:r>
    </w:p>
    <w:p>
      <w:pPr>
        <w:pStyle w:val="Heading1"/>
        <w:pBdr>
          <w:bottom w:val="single" w:color="1F4E79" w:sz="8" w:space="4"/>
        </w:pBdr>
        <w:spacing w:after="160" w:before="360"/>
      </w:pPr>
      <w:r>
        <w:rPr>
          <w:b/>
          <w:bCs/>
          <w:color w:val="1F4E79"/>
          <w:sz w:val="30"/>
          <w:szCs w:val="30"/>
        </w:rPr>
        <w:t xml:space="preserve">5. EPIC-03 — D365FO Integration</w:t>
      </w:r>
    </w:p>
    <w:p>
      <w:pPr>
        <w:spacing w:after="160" w:line="276"/>
      </w:pPr>
      <w:r>
        <w:rPr>
          <w:b w:val="false"/>
          <w:bCs w:val="false"/>
          <w:i w:val="false"/>
          <w:iCs w:val="false"/>
          <w:color w:val="1A1A1A"/>
          <w:sz w:val="21"/>
          <w:szCs w:val="21"/>
        </w:rPr>
        <w:t xml:space="preserve">Keeps KG-MIS supplied with authoritative customer, product, and sales data from D365FO so field data can be linked to real master records instead of being re-entered.</w:t>
      </w:r>
    </w:p>
    <w:p>
      <w:pPr>
        <w:pStyle w:val="Heading2"/>
        <w:spacing w:after="120" w:before="260"/>
      </w:pPr>
      <w:r>
        <w:rPr>
          <w:b/>
          <w:bCs/>
          <w:color w:val="1F4E79"/>
          <w:sz w:val="25"/>
          <w:szCs w:val="25"/>
        </w:rPr>
        <w:t xml:space="preserve">5.1 Actors</w:t>
      </w:r>
    </w:p>
    <w:p>
      <w:pPr>
        <w:pStyle w:val="ListParagraph"/>
        <w:numPr>
          <w:ilvl w:val="0"/>
          <w:numId w:val="1"/>
        </w:numPr>
        <w:spacing w:after="80" w:line="276"/>
      </w:pPr>
      <w:r>
        <w:rPr>
          <w:color w:val="1A1A1A"/>
          <w:sz w:val="21"/>
          <w:szCs w:val="21"/>
        </w:rPr>
        <w:t xml:space="preserve">System (scheduled sync job)</w:t>
      </w:r>
    </w:p>
    <w:p>
      <w:pPr>
        <w:pStyle w:val="ListParagraph"/>
        <w:numPr>
          <w:ilvl w:val="0"/>
          <w:numId w:val="1"/>
        </w:numPr>
        <w:spacing w:after="80" w:line="276"/>
      </w:pPr>
      <w:r>
        <w:rPr>
          <w:color w:val="1A1A1A"/>
          <w:sz w:val="21"/>
          <w:szCs w:val="21"/>
        </w:rPr>
        <w:t xml:space="preserve">Administrator (monitors sync, triggers manual sync)</w:t>
      </w:r>
    </w:p>
    <w:p>
      <w:pPr>
        <w:pStyle w:val="Heading2"/>
        <w:spacing w:after="120" w:before="260"/>
      </w:pPr>
      <w:r>
        <w:rPr>
          <w:b/>
          <w:bCs/>
          <w:color w:val="1F4E79"/>
          <w:sz w:val="25"/>
          <w:szCs w:val="25"/>
        </w:rPr>
        <w:t xml:space="preserve">5.2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ID</w:t>
            </w:r>
          </w:p>
        </w:tc>
        <w:tc>
          <w:tcPr>
            <w:tcW w:type="dxa" w:w="8160"/>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FR-03.1</w:t>
            </w:r>
          </w:p>
        </w:tc>
        <w:tc>
          <w:tcPr>
            <w:tcW w:type="dxa" w:w="8160"/>
            <w:tcMar>
              <w:top w:type="dxa" w:w="80"/>
              <w:left w:type="dxa" w:w="120"/>
              <w:bottom w:type="dxa" w:w="80"/>
              <w:right w:type="dxa" w:w="120"/>
            </w:tcMar>
            <w:vAlign w:val="center"/>
          </w:tcPr>
          <w:p>
            <w:r>
              <w:rPr>
                <w:b w:val="false"/>
                <w:bCs w:val="false"/>
                <w:color w:val="1A1A1A"/>
                <w:sz w:val="20"/>
                <w:szCs w:val="20"/>
              </w:rPr>
              <w:t xml:space="preserve">The system shall retrieve customer, product, and sales master data from D365FO via OData/REST.</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FR-03.2</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The system shall run a scheduled synchronization job at a configurable frequency to refresh cached master data.</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FR-03.3</w:t>
            </w:r>
          </w:p>
        </w:tc>
        <w:tc>
          <w:tcPr>
            <w:tcW w:type="dxa" w:w="8160"/>
            <w:tcMar>
              <w:top w:type="dxa" w:w="80"/>
              <w:left w:type="dxa" w:w="120"/>
              <w:bottom w:type="dxa" w:w="80"/>
              <w:right w:type="dxa" w:w="120"/>
            </w:tcMar>
            <w:vAlign w:val="center"/>
          </w:tcPr>
          <w:p>
            <w:r>
              <w:rPr>
                <w:b w:val="false"/>
                <w:bCs w:val="false"/>
                <w:color w:val="1A1A1A"/>
                <w:sz w:val="20"/>
                <w:szCs w:val="20"/>
              </w:rPr>
              <w:t xml:space="preserve">The system shall log synchronization run status, record counts, and errors.</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FR-03.4</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An Administrator shall be able to trigger an on-demand synchronization.</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FR-03.5</w:t>
            </w:r>
          </w:p>
        </w:tc>
        <w:tc>
          <w:tcPr>
            <w:tcW w:type="dxa" w:w="8160"/>
            <w:tcMar>
              <w:top w:type="dxa" w:w="80"/>
              <w:left w:type="dxa" w:w="120"/>
              <w:bottom w:type="dxa" w:w="80"/>
              <w:right w:type="dxa" w:w="120"/>
            </w:tcMar>
            <w:vAlign w:val="center"/>
          </w:tcPr>
          <w:p>
            <w:r>
              <w:rPr>
                <w:b w:val="false"/>
                <w:bCs w:val="false"/>
                <w:color w:val="1A1A1A"/>
                <w:sz w:val="20"/>
                <w:szCs w:val="20"/>
              </w:rPr>
              <w:t xml:space="preserve">The system shall map D365FO entities (Customer, Product, Sales Order) to the internal data model.</w:t>
            </w:r>
          </w:p>
        </w:tc>
      </w:tr>
    </w:tbl>
    <w:p>
      <w:pPr>
        <w:pStyle w:val="Heading2"/>
        <w:spacing w:after="120" w:before="260"/>
      </w:pPr>
      <w:r>
        <w:rPr>
          <w:b/>
          <w:bCs/>
          <w:color w:val="1F4E79"/>
          <w:sz w:val="25"/>
          <w:szCs w:val="25"/>
        </w:rPr>
        <w:t xml:space="preserve">5.3 Business Rules</w:t>
      </w:r>
    </w:p>
    <w:p>
      <w:pPr>
        <w:pStyle w:val="ListParagraph"/>
        <w:numPr>
          <w:ilvl w:val="0"/>
          <w:numId w:val="1"/>
        </w:numPr>
        <w:spacing w:after="80" w:line="276"/>
      </w:pPr>
      <w:r>
        <w:rPr>
          <w:color w:val="1A1A1A"/>
          <w:sz w:val="21"/>
          <w:szCs w:val="21"/>
        </w:rPr>
        <w:t xml:space="preserve">D365FO is the system of record for product and customer master data; KG-MIS never writes back to D365FO in this release.</w:t>
      </w:r>
    </w:p>
    <w:p>
      <w:pPr>
        <w:pStyle w:val="ListParagraph"/>
        <w:numPr>
          <w:ilvl w:val="0"/>
          <w:numId w:val="1"/>
        </w:numPr>
        <w:spacing w:after="80" w:line="276"/>
      </w:pPr>
      <w:r>
        <w:rPr>
          <w:color w:val="1A1A1A"/>
          <w:sz w:val="21"/>
          <w:szCs w:val="21"/>
        </w:rPr>
        <w:t xml:space="preserve">A failed sync run does not overwrite the last successful cache.</w:t>
      </w:r>
    </w:p>
    <w:p>
      <w:pPr>
        <w:pStyle w:val="Heading2"/>
        <w:spacing w:after="120" w:before="260"/>
      </w:pPr>
      <w:r>
        <w:rPr>
          <w:b/>
          <w:bCs/>
          <w:color w:val="1F4E79"/>
          <w:sz w:val="25"/>
          <w:szCs w:val="25"/>
        </w:rPr>
        <w:t xml:space="preserve">5.4 Workflow</w:t>
      </w:r>
    </w:p>
    <w:p>
      <w:pPr>
        <w:jc w:val="center"/>
      </w:pPr>
      <w:r>
        <w:drawing>
          <wp:inline distT="0" distB="0" distL="0" distR="0">
            <wp:extent cx="5715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066800"/>
                    </a:xfrm>
                    <a:prstGeom prst="rect">
                      <a:avLst/>
                    </a:prstGeom>
                  </pic:spPr>
                </pic:pic>
              </a:graphicData>
            </a:graphic>
          </wp:inline>
        </w:drawing>
      </w:r>
    </w:p>
    <w:p>
      <w:pPr>
        <w:spacing w:after="240" w:before="80"/>
        <w:jc w:val="center"/>
      </w:pPr>
      <w:r>
        <w:rPr>
          <w:i/>
          <w:iCs/>
          <w:color w:val="595959"/>
          <w:sz w:val="19"/>
          <w:szCs w:val="19"/>
        </w:rPr>
        <w:t xml:space="preserve">Figure 3 — EPIC-03 — D365FO Integration — Primary Workflow</w:t>
      </w:r>
    </w:p>
    <w:p>
      <w:pPr>
        <w:spacing w:after="160" w:line="276"/>
      </w:pPr>
      <w:r>
        <w:rPr>
          <w:b w:val="false"/>
          <w:bCs w:val="false"/>
          <w:i w:val="false"/>
          <w:iCs w:val="false"/>
          <w:color w:val="1A1A1A"/>
          <w:sz w:val="21"/>
          <w:szCs w:val="21"/>
        </w:rPr>
        <w:t xml:space="preserve">A sync run starts on schedule or is triggered manually by an Administrator. The API calls D365FO's OData/REST endpoints to retrieve customer, product, and sales data. On success, the data is mapped to the internal model, the cache is updated, and the run is logged; on failure, the error is logged and the last good cache is retained unchanged.</w:t>
      </w:r>
    </w:p>
    <w:p>
      <w:pPr>
        <w:pStyle w:val="Heading1"/>
        <w:pBdr>
          <w:bottom w:val="single" w:color="1F4E79" w:sz="8" w:space="4"/>
        </w:pBdr>
        <w:spacing w:after="160" w:before="360"/>
      </w:pPr>
      <w:r>
        <w:rPr>
          <w:b/>
          <w:bCs/>
          <w:color w:val="1F4E79"/>
          <w:sz w:val="30"/>
          <w:szCs w:val="30"/>
        </w:rPr>
        <w:t xml:space="preserve">6. EPIC-04 — CUAS Integration (Login &amp; Role-Based Access)</w:t>
      </w:r>
    </w:p>
    <w:p>
      <w:pPr>
        <w:spacing w:after="160" w:line="276"/>
      </w:pPr>
      <w:r>
        <w:rPr>
          <w:b w:val="false"/>
          <w:bCs w:val="false"/>
          <w:i w:val="false"/>
          <w:iCs w:val="false"/>
          <w:color w:val="1A1A1A"/>
          <w:sz w:val="21"/>
          <w:szCs w:val="21"/>
        </w:rPr>
        <w:t xml:space="preserve">Uses the corporate CUAS system for authentication and role mapping, so KG-MIS does not maintain a separate username/password store.</w:t>
      </w:r>
    </w:p>
    <w:p>
      <w:pPr>
        <w:pStyle w:val="Heading2"/>
        <w:spacing w:after="120" w:before="260"/>
      </w:pPr>
      <w:r>
        <w:rPr>
          <w:b/>
          <w:bCs/>
          <w:color w:val="1F4E79"/>
          <w:sz w:val="25"/>
          <w:szCs w:val="25"/>
        </w:rPr>
        <w:t xml:space="preserve">6.1 Actors</w:t>
      </w:r>
    </w:p>
    <w:p>
      <w:pPr>
        <w:pStyle w:val="ListParagraph"/>
        <w:numPr>
          <w:ilvl w:val="0"/>
          <w:numId w:val="1"/>
        </w:numPr>
        <w:spacing w:after="80" w:line="276"/>
      </w:pPr>
      <w:r>
        <w:rPr>
          <w:color w:val="1A1A1A"/>
          <w:sz w:val="21"/>
          <w:szCs w:val="21"/>
        </w:rPr>
        <w:t xml:space="preserve">All users (login)</w:t>
      </w:r>
    </w:p>
    <w:p>
      <w:pPr>
        <w:pStyle w:val="ListParagraph"/>
        <w:numPr>
          <w:ilvl w:val="0"/>
          <w:numId w:val="1"/>
        </w:numPr>
        <w:spacing w:after="80" w:line="276"/>
      </w:pPr>
      <w:r>
        <w:rPr>
          <w:color w:val="1A1A1A"/>
          <w:sz w:val="21"/>
          <w:szCs w:val="21"/>
        </w:rPr>
        <w:t xml:space="preserve">Administrator (role-to-permission mapping)</w:t>
      </w:r>
    </w:p>
    <w:p>
      <w:pPr>
        <w:pStyle w:val="Heading2"/>
        <w:spacing w:after="120" w:before="260"/>
      </w:pPr>
      <w:r>
        <w:rPr>
          <w:b/>
          <w:bCs/>
          <w:color w:val="1F4E79"/>
          <w:sz w:val="25"/>
          <w:szCs w:val="25"/>
        </w:rPr>
        <w:t xml:space="preserve">6.2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ID</w:t>
            </w:r>
          </w:p>
        </w:tc>
        <w:tc>
          <w:tcPr>
            <w:tcW w:type="dxa" w:w="8160"/>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FR-04.1</w:t>
            </w:r>
          </w:p>
        </w:tc>
        <w:tc>
          <w:tcPr>
            <w:tcW w:type="dxa" w:w="8160"/>
            <w:tcMar>
              <w:top w:type="dxa" w:w="80"/>
              <w:left w:type="dxa" w:w="120"/>
              <w:bottom w:type="dxa" w:w="80"/>
              <w:right w:type="dxa" w:w="120"/>
            </w:tcMar>
            <w:vAlign w:val="center"/>
          </w:tcPr>
          <w:p>
            <w:r>
              <w:rPr>
                <w:b w:val="false"/>
                <w:bCs w:val="false"/>
                <w:color w:val="1A1A1A"/>
                <w:sz w:val="20"/>
                <w:szCs w:val="20"/>
              </w:rPr>
              <w:t xml:space="preserve">Users shall log in to KG-MIS using their existing CUAS company credentials (SSO).</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FR-04.2</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The system shall enforce role-based access control based on the role/claims returned by CUAS.</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FR-04.3</w:t>
            </w:r>
          </w:p>
        </w:tc>
        <w:tc>
          <w:tcPr>
            <w:tcW w:type="dxa" w:w="8160"/>
            <w:tcMar>
              <w:top w:type="dxa" w:w="80"/>
              <w:left w:type="dxa" w:w="120"/>
              <w:bottom w:type="dxa" w:w="80"/>
              <w:right w:type="dxa" w:w="120"/>
            </w:tcMar>
            <w:vAlign w:val="center"/>
          </w:tcPr>
          <w:p>
            <w:r>
              <w:rPr>
                <w:b w:val="false"/>
                <w:bCs w:val="false"/>
                <w:color w:val="1A1A1A"/>
                <w:sz w:val="20"/>
                <w:szCs w:val="20"/>
              </w:rPr>
              <w:t xml:space="preserve">The system shall map CUAS roles to internal application permissions (Administrator, Marketing Manager, Marketing Analyst, Field Officer, Viewer).</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FR-04.4</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The system shall maintain secure session/token handling and expire sessions after a configurable period of inactivity.</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FR-04.5</w:t>
            </w:r>
          </w:p>
        </w:tc>
        <w:tc>
          <w:tcPr>
            <w:tcW w:type="dxa" w:w="8160"/>
            <w:tcMar>
              <w:top w:type="dxa" w:w="80"/>
              <w:left w:type="dxa" w:w="120"/>
              <w:bottom w:type="dxa" w:w="80"/>
              <w:right w:type="dxa" w:w="120"/>
            </w:tcMar>
            <w:vAlign w:val="center"/>
          </w:tcPr>
          <w:p>
            <w:r>
              <w:rPr>
                <w:b w:val="false"/>
                <w:bCs w:val="false"/>
                <w:color w:val="1A1A1A"/>
                <w:sz w:val="20"/>
                <w:szCs w:val="20"/>
              </w:rPr>
              <w:t xml:space="preserve">A user without a mapped role shall be denied access with a clear message and no default elevated access.</w:t>
            </w:r>
          </w:p>
        </w:tc>
      </w:tr>
    </w:tbl>
    <w:p>
      <w:pPr>
        <w:pStyle w:val="Heading2"/>
        <w:spacing w:after="120" w:before="260"/>
      </w:pPr>
      <w:r>
        <w:rPr>
          <w:b/>
          <w:bCs/>
          <w:color w:val="1F4E79"/>
          <w:sz w:val="25"/>
          <w:szCs w:val="25"/>
        </w:rPr>
        <w:t xml:space="preserve">6.3 Business Rules</w:t>
      </w:r>
    </w:p>
    <w:p>
      <w:pPr>
        <w:pStyle w:val="ListParagraph"/>
        <w:numPr>
          <w:ilvl w:val="0"/>
          <w:numId w:val="1"/>
        </w:numPr>
        <w:spacing w:after="80" w:line="276"/>
      </w:pPr>
      <w:r>
        <w:rPr>
          <w:color w:val="1A1A1A"/>
          <w:sz w:val="21"/>
          <w:szCs w:val="21"/>
        </w:rPr>
        <w:t xml:space="preserve">KG-MIS never stores passwords; all authentication is delegated to CUAS.</w:t>
      </w:r>
    </w:p>
    <w:p>
      <w:pPr>
        <w:pStyle w:val="ListParagraph"/>
        <w:numPr>
          <w:ilvl w:val="0"/>
          <w:numId w:val="1"/>
        </w:numPr>
        <w:spacing w:after="80" w:line="276"/>
      </w:pPr>
      <w:r>
        <w:rPr>
          <w:color w:val="1A1A1A"/>
          <w:sz w:val="21"/>
          <w:szCs w:val="21"/>
        </w:rPr>
        <w:t xml:space="preserve">Role mapping changes take effect on next login/token refresh, not retroactively.</w:t>
      </w:r>
    </w:p>
    <w:p>
      <w:pPr>
        <w:pStyle w:val="Heading2"/>
        <w:spacing w:after="120" w:before="260"/>
      </w:pPr>
      <w:r>
        <w:rPr>
          <w:b/>
          <w:bCs/>
          <w:color w:val="1F4E79"/>
          <w:sz w:val="25"/>
          <w:szCs w:val="25"/>
        </w:rPr>
        <w:t xml:space="preserve">6.4 Workflow</w:t>
      </w:r>
    </w:p>
    <w:p>
      <w:pPr>
        <w:jc w:val="center"/>
      </w:pPr>
      <w:r>
        <w:drawing>
          <wp:inline distT="0" distB="0" distL="0" distR="0">
            <wp:extent cx="57150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133475"/>
                    </a:xfrm>
                    <a:prstGeom prst="rect">
                      <a:avLst/>
                    </a:prstGeom>
                  </pic:spPr>
                </pic:pic>
              </a:graphicData>
            </a:graphic>
          </wp:inline>
        </w:drawing>
      </w:r>
    </w:p>
    <w:p>
      <w:pPr>
        <w:spacing w:after="240" w:before="80"/>
        <w:jc w:val="center"/>
      </w:pPr>
      <w:r>
        <w:rPr>
          <w:i/>
          <w:iCs/>
          <w:color w:val="595959"/>
          <w:sz w:val="19"/>
          <w:szCs w:val="19"/>
        </w:rPr>
        <w:t xml:space="preserve">Figure 4 — EPIC-04 — CUAS Integration (Login &amp; Role-Based Access) — Primary Workflow</w:t>
      </w:r>
    </w:p>
    <w:p>
      <w:pPr>
        <w:spacing w:after="160" w:line="276"/>
      </w:pPr>
      <w:r>
        <w:rPr>
          <w:b w:val="false"/>
          <w:bCs w:val="false"/>
          <w:i w:val="false"/>
          <w:iCs w:val="false"/>
          <w:color w:val="1A1A1A"/>
          <w:sz w:val="21"/>
          <w:szCs w:val="21"/>
        </w:rPr>
        <w:t xml:space="preserve">A user accessing the portal is redirected to CUAS for SSO login. CUAS authenticates the user and returns role claims; if a mapped role is found, a session is created and access is granted per that role. If no mapped role is found, access is denied with a clear message and no default elevated access is given.</w:t>
      </w:r>
    </w:p>
    <w:p>
      <w:pPr>
        <w:pStyle w:val="Heading1"/>
        <w:pBdr>
          <w:bottom w:val="single" w:color="1F4E79" w:sz="8" w:space="4"/>
        </w:pBdr>
        <w:spacing w:after="160" w:before="360"/>
      </w:pPr>
      <w:r>
        <w:rPr>
          <w:b/>
          <w:bCs/>
          <w:color w:val="1F4E79"/>
          <w:sz w:val="30"/>
          <w:szCs w:val="30"/>
        </w:rPr>
        <w:t xml:space="preserve">7. EPIC-05 — CNS Integration (Notifications)</w:t>
      </w:r>
    </w:p>
    <w:p>
      <w:pPr>
        <w:spacing w:after="160" w:line="276"/>
      </w:pPr>
      <w:r>
        <w:rPr>
          <w:b w:val="false"/>
          <w:bCs w:val="false"/>
          <w:i w:val="false"/>
          <w:iCs w:val="false"/>
          <w:color w:val="1A1A1A"/>
          <w:sz w:val="21"/>
          <w:szCs w:val="21"/>
        </w:rPr>
        <w:t xml:space="preserve">Sends automatic alerts through the corporate CNS service instead of relying on manual follow-up.</w:t>
      </w:r>
    </w:p>
    <w:p>
      <w:pPr>
        <w:pStyle w:val="Heading2"/>
        <w:spacing w:after="120" w:before="260"/>
      </w:pPr>
      <w:r>
        <w:rPr>
          <w:b/>
          <w:bCs/>
          <w:color w:val="1F4E79"/>
          <w:sz w:val="25"/>
          <w:szCs w:val="25"/>
        </w:rPr>
        <w:t xml:space="preserve">7.1 Actors</w:t>
      </w:r>
    </w:p>
    <w:p>
      <w:pPr>
        <w:pStyle w:val="ListParagraph"/>
        <w:numPr>
          <w:ilvl w:val="0"/>
          <w:numId w:val="1"/>
        </w:numPr>
        <w:spacing w:after="80" w:line="276"/>
      </w:pPr>
      <w:r>
        <w:rPr>
          <w:color w:val="1A1A1A"/>
          <w:sz w:val="21"/>
          <w:szCs w:val="21"/>
        </w:rPr>
        <w:t xml:space="preserve">System (event-triggered notifications)</w:t>
      </w:r>
    </w:p>
    <w:p>
      <w:pPr>
        <w:pStyle w:val="ListParagraph"/>
        <w:numPr>
          <w:ilvl w:val="0"/>
          <w:numId w:val="1"/>
        </w:numPr>
        <w:spacing w:after="80" w:line="276"/>
      </w:pPr>
      <w:r>
        <w:rPr>
          <w:color w:val="1A1A1A"/>
          <w:sz w:val="21"/>
          <w:szCs w:val="21"/>
        </w:rPr>
        <w:t xml:space="preserve">Marketing Manager / Analyst (notification recipients)</w:t>
      </w:r>
    </w:p>
    <w:p>
      <w:pPr>
        <w:pStyle w:val="Heading2"/>
        <w:spacing w:after="120" w:before="260"/>
      </w:pPr>
      <w:r>
        <w:rPr>
          <w:b/>
          <w:bCs/>
          <w:color w:val="1F4E79"/>
          <w:sz w:val="25"/>
          <w:szCs w:val="25"/>
        </w:rPr>
        <w:t xml:space="preserve">7.2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ID</w:t>
            </w:r>
          </w:p>
        </w:tc>
        <w:tc>
          <w:tcPr>
            <w:tcW w:type="dxa" w:w="8160"/>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FR-05.1</w:t>
            </w:r>
          </w:p>
        </w:tc>
        <w:tc>
          <w:tcPr>
            <w:tcW w:type="dxa" w:w="8160"/>
            <w:tcMar>
              <w:top w:type="dxa" w:w="80"/>
              <w:left w:type="dxa" w:w="120"/>
              <w:bottom w:type="dxa" w:w="80"/>
              <w:right w:type="dxa" w:w="120"/>
            </w:tcMar>
            <w:vAlign w:val="center"/>
          </w:tcPr>
          <w:p>
            <w:r>
              <w:rPr>
                <w:b w:val="false"/>
                <w:bCs w:val="false"/>
                <w:color w:val="1A1A1A"/>
                <w:sz w:val="20"/>
                <w:szCs w:val="20"/>
              </w:rPr>
              <w:t xml:space="preserve">The system shall send a notification via CNS when a defined trigger event occurs (e.g. new market visit report submitted, price-gap alert raised).</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FR-05.2</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The system shall support CNS's available channels: email, SMS, and WhatsApp.</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FR-05.3</w:t>
            </w:r>
          </w:p>
        </w:tc>
        <w:tc>
          <w:tcPr>
            <w:tcW w:type="dxa" w:w="8160"/>
            <w:tcMar>
              <w:top w:type="dxa" w:w="80"/>
              <w:left w:type="dxa" w:w="120"/>
              <w:bottom w:type="dxa" w:w="80"/>
              <w:right w:type="dxa" w:w="120"/>
            </w:tcMar>
            <w:vAlign w:val="center"/>
          </w:tcPr>
          <w:p>
            <w:r>
              <w:rPr>
                <w:b w:val="false"/>
                <w:bCs w:val="false"/>
                <w:color w:val="1A1A1A"/>
                <w:sz w:val="20"/>
                <w:szCs w:val="20"/>
              </w:rPr>
              <w:t xml:space="preserve">An Administrator shall configure which roles receive which notification event types and on which channel.</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FR-05.4</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The system shall log the delivery status returned by CNS for each notification sent.</w:t>
            </w:r>
          </w:p>
        </w:tc>
      </w:tr>
    </w:tbl>
    <w:p>
      <w:pPr>
        <w:pStyle w:val="Heading2"/>
        <w:spacing w:after="120" w:before="260"/>
      </w:pPr>
      <w:r>
        <w:rPr>
          <w:b/>
          <w:bCs/>
          <w:color w:val="1F4E79"/>
          <w:sz w:val="25"/>
          <w:szCs w:val="25"/>
        </w:rPr>
        <w:t xml:space="preserve">7.3 Business Rules</w:t>
      </w:r>
    </w:p>
    <w:p>
      <w:pPr>
        <w:pStyle w:val="ListParagraph"/>
        <w:numPr>
          <w:ilvl w:val="0"/>
          <w:numId w:val="1"/>
        </w:numPr>
        <w:spacing w:after="80" w:line="276"/>
      </w:pPr>
      <w:r>
        <w:rPr>
          <w:color w:val="1A1A1A"/>
          <w:sz w:val="21"/>
          <w:szCs w:val="21"/>
        </w:rPr>
        <w:t xml:space="preserve">Push and in-app notifications are out of scope for this release; only CNS's email, SMS, and WhatsApp channels are used.</w:t>
      </w:r>
    </w:p>
    <w:p>
      <w:pPr>
        <w:pStyle w:val="ListParagraph"/>
        <w:numPr>
          <w:ilvl w:val="0"/>
          <w:numId w:val="1"/>
        </w:numPr>
        <w:spacing w:after="80" w:line="276"/>
      </w:pPr>
      <w:r>
        <w:rPr>
          <w:color w:val="1A1A1A"/>
          <w:sz w:val="21"/>
          <w:szCs w:val="21"/>
        </w:rPr>
        <w:t xml:space="preserve">A failed CNS delivery is logged and retried once before being marked failed.</w:t>
      </w:r>
    </w:p>
    <w:p>
      <w:pPr>
        <w:pStyle w:val="Heading2"/>
        <w:spacing w:after="120" w:before="260"/>
      </w:pPr>
      <w:r>
        <w:rPr>
          <w:b/>
          <w:bCs/>
          <w:color w:val="1F4E79"/>
          <w:sz w:val="25"/>
          <w:szCs w:val="25"/>
        </w:rPr>
        <w:t xml:space="preserve">7.4 Workflow</w:t>
      </w:r>
    </w:p>
    <w:p>
      <w:pPr>
        <w:jc w:val="center"/>
      </w:pPr>
      <w:r>
        <w:drawing>
          <wp:inline distT="0" distB="0" distL="0" distR="0">
            <wp:extent cx="57150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095375"/>
                    </a:xfrm>
                    <a:prstGeom prst="rect">
                      <a:avLst/>
                    </a:prstGeom>
                  </pic:spPr>
                </pic:pic>
              </a:graphicData>
            </a:graphic>
          </wp:inline>
        </w:drawing>
      </w:r>
    </w:p>
    <w:p>
      <w:pPr>
        <w:spacing w:after="240" w:before="80"/>
        <w:jc w:val="center"/>
      </w:pPr>
      <w:r>
        <w:rPr>
          <w:i/>
          <w:iCs/>
          <w:color w:val="595959"/>
          <w:sz w:val="19"/>
          <w:szCs w:val="19"/>
        </w:rPr>
        <w:t xml:space="preserve">Figure 5 — EPIC-05 — CNS Integration (Notifications) — Primary Workflow</w:t>
      </w:r>
    </w:p>
    <w:p>
      <w:pPr>
        <w:spacing w:after="160" w:line="276"/>
      </w:pPr>
      <w:r>
        <w:rPr>
          <w:b w:val="false"/>
          <w:bCs w:val="false"/>
          <w:i w:val="false"/>
          <w:iCs w:val="false"/>
          <w:color w:val="1A1A1A"/>
          <w:sz w:val="21"/>
          <w:szCs w:val="21"/>
        </w:rPr>
        <w:t xml:space="preserve">A trigger event (e.g. a report submitted or a price-gap alert raised) causes the system to build a notification and send it via CNS on the configured channel. CNS returns a delivery status, which is logged; a failed delivery is retried once before being marked failed.</w:t>
      </w:r>
    </w:p>
    <w:p>
      <w:pPr>
        <w:pStyle w:val="Heading1"/>
        <w:pBdr>
          <w:bottom w:val="single" w:color="1F4E79" w:sz="8" w:space="4"/>
        </w:pBdr>
        <w:spacing w:after="160" w:before="360"/>
      </w:pPr>
      <w:r>
        <w:rPr>
          <w:b/>
          <w:bCs/>
          <w:color w:val="1F4E79"/>
          <w:sz w:val="30"/>
          <w:szCs w:val="30"/>
        </w:rPr>
        <w:t xml:space="preserve">8. EPIC-06 — Power BI Dashboards &amp; Basic Reports</w:t>
      </w:r>
    </w:p>
    <w:p>
      <w:pPr>
        <w:spacing w:after="160" w:line="276"/>
      </w:pPr>
      <w:r>
        <w:rPr>
          <w:b w:val="false"/>
          <w:bCs w:val="false"/>
          <w:i w:val="false"/>
          <w:iCs w:val="false"/>
          <w:color w:val="1A1A1A"/>
          <w:sz w:val="21"/>
          <w:szCs w:val="21"/>
        </w:rPr>
        <w:t xml:space="preserve">Turns collected field, survey, and pricing data (plus D365FO sales data) into dashboards and scheduled reports for management.</w:t>
      </w:r>
    </w:p>
    <w:p>
      <w:pPr>
        <w:pStyle w:val="Heading2"/>
        <w:spacing w:after="120" w:before="260"/>
      </w:pPr>
      <w:r>
        <w:rPr>
          <w:b/>
          <w:bCs/>
          <w:color w:val="1F4E79"/>
          <w:sz w:val="25"/>
          <w:szCs w:val="25"/>
        </w:rPr>
        <w:t xml:space="preserve">8.1 Actors</w:t>
      </w:r>
    </w:p>
    <w:p>
      <w:pPr>
        <w:pStyle w:val="ListParagraph"/>
        <w:numPr>
          <w:ilvl w:val="0"/>
          <w:numId w:val="1"/>
        </w:numPr>
        <w:spacing w:after="80" w:line="276"/>
      </w:pPr>
      <w:r>
        <w:rPr>
          <w:color w:val="1A1A1A"/>
          <w:sz w:val="21"/>
          <w:szCs w:val="21"/>
        </w:rPr>
        <w:t xml:space="preserve">Marketing Manager / Analyst / Viewer (consume dashboards)</w:t>
      </w:r>
    </w:p>
    <w:p>
      <w:pPr>
        <w:pStyle w:val="ListParagraph"/>
        <w:numPr>
          <w:ilvl w:val="0"/>
          <w:numId w:val="1"/>
        </w:numPr>
        <w:spacing w:after="80" w:line="276"/>
      </w:pPr>
      <w:r>
        <w:rPr>
          <w:color w:val="1A1A1A"/>
          <w:sz w:val="21"/>
          <w:szCs w:val="21"/>
        </w:rPr>
        <w:t xml:space="preserve">Administrator (manages report schedules)</w:t>
      </w:r>
    </w:p>
    <w:p>
      <w:pPr>
        <w:pStyle w:val="Heading2"/>
        <w:spacing w:after="120" w:before="260"/>
      </w:pPr>
      <w:r>
        <w:rPr>
          <w:b/>
          <w:bCs/>
          <w:color w:val="1F4E79"/>
          <w:sz w:val="25"/>
          <w:szCs w:val="25"/>
        </w:rPr>
        <w:t xml:space="preserve">8.2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ID</w:t>
            </w:r>
          </w:p>
        </w:tc>
        <w:tc>
          <w:tcPr>
            <w:tcW w:type="dxa" w:w="8160"/>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FR-06.1</w:t>
            </w:r>
          </w:p>
        </w:tc>
        <w:tc>
          <w:tcPr>
            <w:tcW w:type="dxa" w:w="8160"/>
            <w:tcMar>
              <w:top w:type="dxa" w:w="80"/>
              <w:left w:type="dxa" w:w="120"/>
              <w:bottom w:type="dxa" w:w="80"/>
              <w:right w:type="dxa" w:w="120"/>
            </w:tcMar>
            <w:vAlign w:val="center"/>
          </w:tcPr>
          <w:p>
            <w:r>
              <w:rPr>
                <w:b w:val="false"/>
                <w:bCs w:val="false"/>
                <w:color w:val="1A1A1A"/>
                <w:sz w:val="20"/>
                <w:szCs w:val="20"/>
              </w:rPr>
              <w:t xml:space="preserve">The system shall expose a reporting data layer (views) that Power BI consumes as its data source.</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FR-06.2</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Dashboards shall provide KPIs including sales growth, market share, and product availability rate.</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FR-06.3</w:t>
            </w:r>
          </w:p>
        </w:tc>
        <w:tc>
          <w:tcPr>
            <w:tcW w:type="dxa" w:w="8160"/>
            <w:tcMar>
              <w:top w:type="dxa" w:w="80"/>
              <w:left w:type="dxa" w:w="120"/>
              <w:bottom w:type="dxa" w:w="80"/>
              <w:right w:type="dxa" w:w="120"/>
            </w:tcMar>
            <w:vAlign w:val="center"/>
          </w:tcPr>
          <w:p>
            <w:r>
              <w:rPr>
                <w:b w:val="false"/>
                <w:bCs w:val="false"/>
                <w:color w:val="1A1A1A"/>
                <w:sz w:val="20"/>
                <w:szCs w:val="20"/>
              </w:rPr>
              <w:t xml:space="preserve">Dashboards shall support drill-down from country → region → city → outlet.</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FR-06.4</w:t>
            </w:r>
          </w:p>
        </w:tc>
        <w:tc>
          <w:tcPr>
            <w:tcW w:type="dxa" w:w="8160"/>
            <w:shd w:fill="F2F2F2" w:val="clear"/>
            <w:tcMar>
              <w:top w:type="dxa" w:w="80"/>
              <w:left w:type="dxa" w:w="120"/>
              <w:bottom w:type="dxa" w:w="80"/>
              <w:right w:type="dxa" w:w="120"/>
            </w:tcMar>
            <w:vAlign w:val="center"/>
          </w:tcPr>
          <w:p>
            <w:r>
              <w:rPr>
                <w:b w:val="false"/>
                <w:bCs w:val="false"/>
                <w:color w:val="1A1A1A"/>
                <w:sz w:val="20"/>
                <w:szCs w:val="20"/>
              </w:rPr>
              <w:t xml:space="preserve">The system shall support scheduled Power BI report refresh.</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FR-06.5</w:t>
            </w:r>
          </w:p>
        </w:tc>
        <w:tc>
          <w:tcPr>
            <w:tcW w:type="dxa" w:w="8160"/>
            <w:tcMar>
              <w:top w:type="dxa" w:w="80"/>
              <w:left w:type="dxa" w:w="120"/>
              <w:bottom w:type="dxa" w:w="80"/>
              <w:right w:type="dxa" w:w="120"/>
            </w:tcMar>
            <w:vAlign w:val="center"/>
          </w:tcPr>
          <w:p>
            <w:r>
              <w:rPr>
                <w:b w:val="false"/>
                <w:bCs w:val="false"/>
                <w:color w:val="1A1A1A"/>
                <w:sz w:val="20"/>
                <w:szCs w:val="20"/>
              </w:rPr>
              <w:t xml:space="preserve">Selected Power BI reports shall be embeddable within the web portal using a secure embed token.</w:t>
            </w:r>
          </w:p>
        </w:tc>
      </w:tr>
    </w:tbl>
    <w:p>
      <w:pPr>
        <w:pStyle w:val="Heading2"/>
        <w:spacing w:after="120" w:before="260"/>
      </w:pPr>
      <w:r>
        <w:rPr>
          <w:b/>
          <w:bCs/>
          <w:color w:val="1F4E79"/>
          <w:sz w:val="25"/>
          <w:szCs w:val="25"/>
        </w:rPr>
        <w:t xml:space="preserve">8.3 Business Rules</w:t>
      </w:r>
    </w:p>
    <w:p>
      <w:pPr>
        <w:pStyle w:val="ListParagraph"/>
        <w:numPr>
          <w:ilvl w:val="0"/>
          <w:numId w:val="1"/>
        </w:numPr>
        <w:spacing w:after="80" w:line="276"/>
      </w:pPr>
      <w:r>
        <w:rPr>
          <w:color w:val="1A1A1A"/>
          <w:sz w:val="21"/>
          <w:szCs w:val="21"/>
        </w:rPr>
        <w:t xml:space="preserve">Dashboard access follows the same role-based permissions as the rest of the portal.</w:t>
      </w:r>
    </w:p>
    <w:p>
      <w:pPr>
        <w:pStyle w:val="ListParagraph"/>
        <w:numPr>
          <w:ilvl w:val="0"/>
          <w:numId w:val="1"/>
        </w:numPr>
        <w:spacing w:after="80" w:line="276"/>
      </w:pPr>
      <w:r>
        <w:rPr>
          <w:color w:val="1A1A1A"/>
          <w:sz w:val="21"/>
          <w:szCs w:val="21"/>
        </w:rPr>
        <w:t xml:space="preserve">Custom drag-and-drop report building is out of scope; only the standard Power BI templates listed above are delivered in this release.</w:t>
      </w:r>
    </w:p>
    <w:p>
      <w:pPr>
        <w:pStyle w:val="Heading2"/>
        <w:spacing w:after="120" w:before="260"/>
      </w:pPr>
      <w:r>
        <w:rPr>
          <w:b/>
          <w:bCs/>
          <w:color w:val="1F4E79"/>
          <w:sz w:val="25"/>
          <w:szCs w:val="25"/>
        </w:rPr>
        <w:t xml:space="preserve">8.4 Workflow</w:t>
      </w:r>
    </w:p>
    <w:p>
      <w:pPr>
        <w:jc w:val="center"/>
      </w:pPr>
      <w:r>
        <w:drawing>
          <wp:inline distT="0" distB="0" distL="0" distR="0">
            <wp:extent cx="57150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038225"/>
                    </a:xfrm>
                    <a:prstGeom prst="rect">
                      <a:avLst/>
                    </a:prstGeom>
                  </pic:spPr>
                </pic:pic>
              </a:graphicData>
            </a:graphic>
          </wp:inline>
        </w:drawing>
      </w:r>
    </w:p>
    <w:p>
      <w:pPr>
        <w:spacing w:after="240" w:before="80"/>
        <w:jc w:val="center"/>
      </w:pPr>
      <w:r>
        <w:rPr>
          <w:i/>
          <w:iCs/>
          <w:color w:val="595959"/>
          <w:sz w:val="19"/>
          <w:szCs w:val="19"/>
        </w:rPr>
        <w:t xml:space="preserve">Figure 6 — EPIC-06 — Power BI Dashboards &amp; Basic Reports — Primary Workflow</w:t>
      </w:r>
    </w:p>
    <w:p>
      <w:pPr>
        <w:spacing w:after="160" w:line="276"/>
      </w:pPr>
      <w:r>
        <w:rPr>
          <w:b w:val="false"/>
          <w:bCs w:val="false"/>
          <w:i w:val="false"/>
          <w:iCs w:val="false"/>
          <w:color w:val="1A1A1A"/>
          <w:sz w:val="21"/>
          <w:szCs w:val="21"/>
        </w:rPr>
        <w:t xml:space="preserve">Power BI refreshes on a schedule from the reporting views built on top of the transactional database. Once a dashboard is published, a role-based access check determines whether a user sees it embedded in the web portal or accesses it directly in Power BI.</w:t>
      </w:r>
    </w:p>
    <w:p>
      <w:pPr>
        <w:pStyle w:val="Heading1"/>
        <w:pBdr>
          <w:bottom w:val="single" w:color="1F4E79" w:sz="8" w:space="4"/>
        </w:pBdr>
        <w:spacing w:after="160" w:before="360"/>
      </w:pPr>
      <w:r>
        <w:rPr>
          <w:b/>
          <w:bCs/>
          <w:color w:val="1F4E79"/>
          <w:sz w:val="30"/>
          <w:szCs w:val="30"/>
        </w:rPr>
        <w:t xml:space="preserve">9. Traceability Matrix</w:t>
      </w:r>
    </w:p>
    <w:p>
      <w:pPr>
        <w:spacing w:after="160" w:line="276"/>
      </w:pPr>
      <w:r>
        <w:rPr>
          <w:b w:val="false"/>
          <w:bCs w:val="false"/>
          <w:i w:val="false"/>
          <w:iCs w:val="false"/>
          <w:color w:val="1A1A1A"/>
          <w:sz w:val="21"/>
          <w:szCs w:val="21"/>
        </w:rPr>
        <w:t xml:space="preserve">Maps the User Requirement's key feature areas to the epic and functional requirements that deliver them in this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600"/>
        <w:gridCol w:w="3600"/>
      </w:tblGrid>
      <w:tr>
        <w:trPr>
          <w:tblHeader/>
        </w:trPr>
        <w:tc>
          <w:tcPr>
            <w:tcW w:type="dxa" w:w="4160"/>
            <w:shd w:fill="1F4E79" w:val="clear"/>
            <w:tcMar>
              <w:top w:type="dxa" w:w="80"/>
              <w:left w:type="dxa" w:w="120"/>
              <w:bottom w:type="dxa" w:w="80"/>
              <w:right w:type="dxa" w:w="120"/>
            </w:tcMar>
            <w:vAlign w:val="center"/>
          </w:tcPr>
          <w:p>
            <w:r>
              <w:rPr>
                <w:b/>
                <w:bCs/>
                <w:color w:val="FFFFFF"/>
                <w:sz w:val="20"/>
                <w:szCs w:val="20"/>
              </w:rPr>
              <w:t xml:space="preserve">User Requirement Area</w:t>
            </w:r>
          </w:p>
        </w:tc>
        <w:tc>
          <w:tcPr>
            <w:tcW w:type="dxa" w:w="1600"/>
            <w:shd w:fill="1F4E79" w:val="clear"/>
            <w:tcMar>
              <w:top w:type="dxa" w:w="80"/>
              <w:left w:type="dxa" w:w="120"/>
              <w:bottom w:type="dxa" w:w="80"/>
              <w:right w:type="dxa" w:w="120"/>
            </w:tcMar>
            <w:vAlign w:val="center"/>
          </w:tcPr>
          <w:p>
            <w:r>
              <w:rPr>
                <w:b/>
                <w:bCs/>
                <w:color w:val="FFFFFF"/>
                <w:sz w:val="20"/>
                <w:szCs w:val="20"/>
              </w:rPr>
              <w:t xml:space="preserve">Epic</w:t>
            </w:r>
          </w:p>
        </w:tc>
        <w:tc>
          <w:tcPr>
            <w:tcW w:type="dxa" w:w="3600"/>
            <w:shd w:fill="1F4E79" w:val="clear"/>
            <w:tcMar>
              <w:top w:type="dxa" w:w="80"/>
              <w:left w:type="dxa" w:w="120"/>
              <w:bottom w:type="dxa" w:w="80"/>
              <w:right w:type="dxa" w:w="120"/>
            </w:tcMar>
            <w:vAlign w:val="center"/>
          </w:tcPr>
          <w:p>
            <w:r>
              <w:rPr>
                <w:b/>
                <w:bCs/>
                <w:color w:val="FFFFFF"/>
                <w:sz w:val="20"/>
                <w:szCs w:val="20"/>
              </w:rPr>
              <w:t xml:space="preserve">Functional Requirements</w:t>
            </w:r>
          </w:p>
        </w:tc>
      </w:tr>
      <w:tr>
        <w:tc>
          <w:tcPr>
            <w:tcW w:type="dxa" w:w="4160"/>
            <w:tcMar>
              <w:top w:type="dxa" w:w="80"/>
              <w:left w:type="dxa" w:w="120"/>
              <w:bottom w:type="dxa" w:w="80"/>
              <w:right w:type="dxa" w:w="120"/>
            </w:tcMar>
            <w:vAlign w:val="center"/>
          </w:tcPr>
          <w:p>
            <w:r>
              <w:rPr>
                <w:b w:val="false"/>
                <w:bCs w:val="false"/>
                <w:color w:val="1A1A1A"/>
                <w:sz w:val="20"/>
                <w:szCs w:val="20"/>
              </w:rPr>
              <w:t xml:space="preserve">Field observations, market visit reports, interviews</w:t>
            </w:r>
          </w:p>
        </w:tc>
        <w:tc>
          <w:tcPr>
            <w:tcW w:type="dxa" w:w="1600"/>
            <w:tcMar>
              <w:top w:type="dxa" w:w="80"/>
              <w:left w:type="dxa" w:w="120"/>
              <w:bottom w:type="dxa" w:w="80"/>
              <w:right w:type="dxa" w:w="120"/>
            </w:tcMar>
            <w:vAlign w:val="center"/>
          </w:tcPr>
          <w:p>
            <w:r>
              <w:rPr>
                <w:b w:val="false"/>
                <w:bCs w:val="false"/>
                <w:color w:val="1A1A1A"/>
                <w:sz w:val="20"/>
                <w:szCs w:val="20"/>
              </w:rPr>
              <w:t xml:space="preserve">EPIC-01</w:t>
            </w:r>
          </w:p>
        </w:tc>
        <w:tc>
          <w:tcPr>
            <w:tcW w:type="dxa" w:w="3600"/>
            <w:tcMar>
              <w:top w:type="dxa" w:w="80"/>
              <w:left w:type="dxa" w:w="120"/>
              <w:bottom w:type="dxa" w:w="80"/>
              <w:right w:type="dxa" w:w="120"/>
            </w:tcMar>
            <w:vAlign w:val="center"/>
          </w:tcPr>
          <w:p>
            <w:r>
              <w:rPr>
                <w:b w:val="false"/>
                <w:bCs w:val="false"/>
                <w:color w:val="1A1A1A"/>
                <w:sz w:val="20"/>
                <w:szCs w:val="20"/>
              </w:rPr>
              <w:t xml:space="preserve">FR-01.1 – FR-01.8</w:t>
            </w:r>
          </w:p>
        </w:tc>
      </w:tr>
      <w:tr>
        <w:tc>
          <w:tcPr>
            <w:tcW w:type="dxa" w:w="4160"/>
            <w:shd w:fill="F2F2F2" w:val="clear"/>
            <w:tcMar>
              <w:top w:type="dxa" w:w="80"/>
              <w:left w:type="dxa" w:w="120"/>
              <w:bottom w:type="dxa" w:w="80"/>
              <w:right w:type="dxa" w:w="120"/>
            </w:tcMar>
            <w:vAlign w:val="center"/>
          </w:tcPr>
          <w:p>
            <w:r>
              <w:rPr>
                <w:b w:val="false"/>
                <w:bCs w:val="false"/>
                <w:color w:val="1A1A1A"/>
                <w:sz w:val="20"/>
                <w:szCs w:val="20"/>
              </w:rPr>
              <w:t xml:space="preserve">Structured questionnaires and surveys</w:t>
            </w:r>
          </w:p>
        </w:tc>
        <w:tc>
          <w:tcPr>
            <w:tcW w:type="dxa" w:w="1600"/>
            <w:shd w:fill="F2F2F2" w:val="clear"/>
            <w:tcMar>
              <w:top w:type="dxa" w:w="80"/>
              <w:left w:type="dxa" w:w="120"/>
              <w:bottom w:type="dxa" w:w="80"/>
              <w:right w:type="dxa" w:w="120"/>
            </w:tcMar>
            <w:vAlign w:val="center"/>
          </w:tcPr>
          <w:p>
            <w:r>
              <w:rPr>
                <w:b w:val="false"/>
                <w:bCs w:val="false"/>
                <w:color w:val="1A1A1A"/>
                <w:sz w:val="20"/>
                <w:szCs w:val="20"/>
              </w:rPr>
              <w:t xml:space="preserve">EPIC-01</w:t>
            </w:r>
          </w:p>
        </w:tc>
        <w:tc>
          <w:tcPr>
            <w:tcW w:type="dxa" w:w="3600"/>
            <w:shd w:fill="F2F2F2" w:val="clear"/>
            <w:tcMar>
              <w:top w:type="dxa" w:w="80"/>
              <w:left w:type="dxa" w:w="120"/>
              <w:bottom w:type="dxa" w:w="80"/>
              <w:right w:type="dxa" w:w="120"/>
            </w:tcMar>
            <w:vAlign w:val="center"/>
          </w:tcPr>
          <w:p>
            <w:r>
              <w:rPr>
                <w:b w:val="false"/>
                <w:bCs w:val="false"/>
                <w:color w:val="1A1A1A"/>
                <w:sz w:val="20"/>
                <w:szCs w:val="20"/>
              </w:rPr>
              <w:t xml:space="preserve">FR-01.1 – FR-01.8</w:t>
            </w:r>
          </w:p>
        </w:tc>
      </w:tr>
      <w:tr>
        <w:tc>
          <w:tcPr>
            <w:tcW w:type="dxa" w:w="4160"/>
            <w:tcMar>
              <w:top w:type="dxa" w:w="80"/>
              <w:left w:type="dxa" w:w="120"/>
              <w:bottom w:type="dxa" w:w="80"/>
              <w:right w:type="dxa" w:w="120"/>
            </w:tcMar>
            <w:vAlign w:val="center"/>
          </w:tcPr>
          <w:p>
            <w:r>
              <w:rPr>
                <w:b w:val="false"/>
                <w:bCs w:val="false"/>
                <w:color w:val="1A1A1A"/>
                <w:sz w:val="20"/>
                <w:szCs w:val="20"/>
              </w:rPr>
              <w:t xml:space="preserve">Sales and competitor data / comparative pricing analysis</w:t>
            </w:r>
          </w:p>
        </w:tc>
        <w:tc>
          <w:tcPr>
            <w:tcW w:type="dxa" w:w="1600"/>
            <w:tcMar>
              <w:top w:type="dxa" w:w="80"/>
              <w:left w:type="dxa" w:w="120"/>
              <w:bottom w:type="dxa" w:w="80"/>
              <w:right w:type="dxa" w:w="120"/>
            </w:tcMar>
            <w:vAlign w:val="center"/>
          </w:tcPr>
          <w:p>
            <w:r>
              <w:rPr>
                <w:b w:val="false"/>
                <w:bCs w:val="false"/>
                <w:color w:val="1A1A1A"/>
                <w:sz w:val="20"/>
                <w:szCs w:val="20"/>
              </w:rPr>
              <w:t xml:space="preserve">EPIC-02</w:t>
            </w:r>
          </w:p>
        </w:tc>
        <w:tc>
          <w:tcPr>
            <w:tcW w:type="dxa" w:w="3600"/>
            <w:tcMar>
              <w:top w:type="dxa" w:w="80"/>
              <w:left w:type="dxa" w:w="120"/>
              <w:bottom w:type="dxa" w:w="80"/>
              <w:right w:type="dxa" w:w="120"/>
            </w:tcMar>
            <w:vAlign w:val="center"/>
          </w:tcPr>
          <w:p>
            <w:r>
              <w:rPr>
                <w:b w:val="false"/>
                <w:bCs w:val="false"/>
                <w:color w:val="1A1A1A"/>
                <w:sz w:val="20"/>
                <w:szCs w:val="20"/>
              </w:rPr>
              <w:t xml:space="preserve">FR-02.1 – FR-02.6</w:t>
            </w:r>
          </w:p>
        </w:tc>
      </w:tr>
      <w:tr>
        <w:tc>
          <w:tcPr>
            <w:tcW w:type="dxa" w:w="4160"/>
            <w:shd w:fill="F2F2F2" w:val="clear"/>
            <w:tcMar>
              <w:top w:type="dxa" w:w="80"/>
              <w:left w:type="dxa" w:w="120"/>
              <w:bottom w:type="dxa" w:w="80"/>
              <w:right w:type="dxa" w:w="120"/>
            </w:tcMar>
            <w:vAlign w:val="center"/>
          </w:tcPr>
          <w:p>
            <w:r>
              <w:rPr>
                <w:b w:val="false"/>
                <w:bCs w:val="false"/>
                <w:color w:val="1A1A1A"/>
                <w:sz w:val="20"/>
                <w:szCs w:val="20"/>
              </w:rPr>
              <w:t xml:space="preserve">CRM integration, customer &amp; distributor management (via D365FO)</w:t>
            </w:r>
          </w:p>
        </w:tc>
        <w:tc>
          <w:tcPr>
            <w:tcW w:type="dxa" w:w="1600"/>
            <w:shd w:fill="F2F2F2" w:val="clear"/>
            <w:tcMar>
              <w:top w:type="dxa" w:w="80"/>
              <w:left w:type="dxa" w:w="120"/>
              <w:bottom w:type="dxa" w:w="80"/>
              <w:right w:type="dxa" w:w="120"/>
            </w:tcMar>
            <w:vAlign w:val="center"/>
          </w:tcPr>
          <w:p>
            <w:r>
              <w:rPr>
                <w:b w:val="false"/>
                <w:bCs w:val="false"/>
                <w:color w:val="1A1A1A"/>
                <w:sz w:val="20"/>
                <w:szCs w:val="20"/>
              </w:rPr>
              <w:t xml:space="preserve">EPIC-03</w:t>
            </w:r>
          </w:p>
        </w:tc>
        <w:tc>
          <w:tcPr>
            <w:tcW w:type="dxa" w:w="3600"/>
            <w:shd w:fill="F2F2F2" w:val="clear"/>
            <w:tcMar>
              <w:top w:type="dxa" w:w="80"/>
              <w:left w:type="dxa" w:w="120"/>
              <w:bottom w:type="dxa" w:w="80"/>
              <w:right w:type="dxa" w:w="120"/>
            </w:tcMar>
            <w:vAlign w:val="center"/>
          </w:tcPr>
          <w:p>
            <w:r>
              <w:rPr>
                <w:b w:val="false"/>
                <w:bCs w:val="false"/>
                <w:color w:val="1A1A1A"/>
                <w:sz w:val="20"/>
                <w:szCs w:val="20"/>
              </w:rPr>
              <w:t xml:space="preserve">FR-03.1 – FR-03.5</w:t>
            </w:r>
          </w:p>
        </w:tc>
      </w:tr>
      <w:tr>
        <w:tc>
          <w:tcPr>
            <w:tcW w:type="dxa" w:w="4160"/>
            <w:tcMar>
              <w:top w:type="dxa" w:w="80"/>
              <w:left w:type="dxa" w:w="120"/>
              <w:bottom w:type="dxa" w:w="80"/>
              <w:right w:type="dxa" w:w="120"/>
            </w:tcMar>
            <w:vAlign w:val="center"/>
          </w:tcPr>
          <w:p>
            <w:r>
              <w:rPr>
                <w:b w:val="false"/>
                <w:bCs w:val="false"/>
                <w:color w:val="1A1A1A"/>
                <w:sz w:val="20"/>
                <w:szCs w:val="20"/>
              </w:rPr>
              <w:t xml:space="preserve">Role-based access and security</w:t>
            </w:r>
          </w:p>
        </w:tc>
        <w:tc>
          <w:tcPr>
            <w:tcW w:type="dxa" w:w="1600"/>
            <w:tcMar>
              <w:top w:type="dxa" w:w="80"/>
              <w:left w:type="dxa" w:w="120"/>
              <w:bottom w:type="dxa" w:w="80"/>
              <w:right w:type="dxa" w:w="120"/>
            </w:tcMar>
            <w:vAlign w:val="center"/>
          </w:tcPr>
          <w:p>
            <w:r>
              <w:rPr>
                <w:b w:val="false"/>
                <w:bCs w:val="false"/>
                <w:color w:val="1A1A1A"/>
                <w:sz w:val="20"/>
                <w:szCs w:val="20"/>
              </w:rPr>
              <w:t xml:space="preserve">EPIC-04</w:t>
            </w:r>
          </w:p>
        </w:tc>
        <w:tc>
          <w:tcPr>
            <w:tcW w:type="dxa" w:w="3600"/>
            <w:tcMar>
              <w:top w:type="dxa" w:w="80"/>
              <w:left w:type="dxa" w:w="120"/>
              <w:bottom w:type="dxa" w:w="80"/>
              <w:right w:type="dxa" w:w="120"/>
            </w:tcMar>
            <w:vAlign w:val="center"/>
          </w:tcPr>
          <w:p>
            <w:r>
              <w:rPr>
                <w:b w:val="false"/>
                <w:bCs w:val="false"/>
                <w:color w:val="1A1A1A"/>
                <w:sz w:val="20"/>
                <w:szCs w:val="20"/>
              </w:rPr>
              <w:t xml:space="preserve">FR-04.1 – FR-04.5</w:t>
            </w:r>
          </w:p>
        </w:tc>
      </w:tr>
      <w:tr>
        <w:tc>
          <w:tcPr>
            <w:tcW w:type="dxa" w:w="4160"/>
            <w:shd w:fill="F2F2F2" w:val="clear"/>
            <w:tcMar>
              <w:top w:type="dxa" w:w="80"/>
              <w:left w:type="dxa" w:w="120"/>
              <w:bottom w:type="dxa" w:w="80"/>
              <w:right w:type="dxa" w:w="120"/>
            </w:tcMar>
            <w:vAlign w:val="center"/>
          </w:tcPr>
          <w:p>
            <w:r>
              <w:rPr>
                <w:b w:val="false"/>
                <w:bCs w:val="false"/>
                <w:color w:val="1A1A1A"/>
                <w:sz w:val="20"/>
                <w:szCs w:val="20"/>
              </w:rPr>
              <w:t xml:space="preserve">Scheduled email reporting to management / alerts</w:t>
            </w:r>
          </w:p>
        </w:tc>
        <w:tc>
          <w:tcPr>
            <w:tcW w:type="dxa" w:w="1600"/>
            <w:shd w:fill="F2F2F2" w:val="clear"/>
            <w:tcMar>
              <w:top w:type="dxa" w:w="80"/>
              <w:left w:type="dxa" w:w="120"/>
              <w:bottom w:type="dxa" w:w="80"/>
              <w:right w:type="dxa" w:w="120"/>
            </w:tcMar>
            <w:vAlign w:val="center"/>
          </w:tcPr>
          <w:p>
            <w:r>
              <w:rPr>
                <w:b w:val="false"/>
                <w:bCs w:val="false"/>
                <w:color w:val="1A1A1A"/>
                <w:sz w:val="20"/>
                <w:szCs w:val="20"/>
              </w:rPr>
              <w:t xml:space="preserve">EPIC-05</w:t>
            </w:r>
          </w:p>
        </w:tc>
        <w:tc>
          <w:tcPr>
            <w:tcW w:type="dxa" w:w="3600"/>
            <w:shd w:fill="F2F2F2" w:val="clear"/>
            <w:tcMar>
              <w:top w:type="dxa" w:w="80"/>
              <w:left w:type="dxa" w:w="120"/>
              <w:bottom w:type="dxa" w:w="80"/>
              <w:right w:type="dxa" w:w="120"/>
            </w:tcMar>
            <w:vAlign w:val="center"/>
          </w:tcPr>
          <w:p>
            <w:r>
              <w:rPr>
                <w:b w:val="false"/>
                <w:bCs w:val="false"/>
                <w:color w:val="1A1A1A"/>
                <w:sz w:val="20"/>
                <w:szCs w:val="20"/>
              </w:rPr>
              <w:t xml:space="preserve">FR-05.1 – FR-05.4</w:t>
            </w:r>
          </w:p>
        </w:tc>
      </w:tr>
      <w:tr>
        <w:tc>
          <w:tcPr>
            <w:tcW w:type="dxa" w:w="4160"/>
            <w:tcMar>
              <w:top w:type="dxa" w:w="80"/>
              <w:left w:type="dxa" w:w="120"/>
              <w:bottom w:type="dxa" w:w="80"/>
              <w:right w:type="dxa" w:w="120"/>
            </w:tcMar>
            <w:vAlign w:val="center"/>
          </w:tcPr>
          <w:p>
            <w:r>
              <w:rPr>
                <w:b w:val="false"/>
                <w:bCs w:val="false"/>
                <w:color w:val="1A1A1A"/>
                <w:sz w:val="20"/>
                <w:szCs w:val="20"/>
              </w:rPr>
              <w:t xml:space="preserve">Real-time dashboards, KPI tracking, drill-down</w:t>
            </w:r>
          </w:p>
        </w:tc>
        <w:tc>
          <w:tcPr>
            <w:tcW w:type="dxa" w:w="1600"/>
            <w:tcMar>
              <w:top w:type="dxa" w:w="80"/>
              <w:left w:type="dxa" w:w="120"/>
              <w:bottom w:type="dxa" w:w="80"/>
              <w:right w:type="dxa" w:w="120"/>
            </w:tcMar>
            <w:vAlign w:val="center"/>
          </w:tcPr>
          <w:p>
            <w:r>
              <w:rPr>
                <w:b w:val="false"/>
                <w:bCs w:val="false"/>
                <w:color w:val="1A1A1A"/>
                <w:sz w:val="20"/>
                <w:szCs w:val="20"/>
              </w:rPr>
              <w:t xml:space="preserve">EPIC-06</w:t>
            </w:r>
          </w:p>
        </w:tc>
        <w:tc>
          <w:tcPr>
            <w:tcW w:type="dxa" w:w="3600"/>
            <w:tcMar>
              <w:top w:type="dxa" w:w="80"/>
              <w:left w:type="dxa" w:w="120"/>
              <w:bottom w:type="dxa" w:w="80"/>
              <w:right w:type="dxa" w:w="120"/>
            </w:tcMar>
            <w:vAlign w:val="center"/>
          </w:tcPr>
          <w:p>
            <w:r>
              <w:rPr>
                <w:b w:val="false"/>
                <w:bCs w:val="false"/>
                <w:color w:val="1A1A1A"/>
                <w:sz w:val="20"/>
                <w:szCs w:val="20"/>
              </w:rPr>
              <w:t xml:space="preserve">FR-06.1 – FR-06.5</w:t>
            </w:r>
          </w:p>
        </w:tc>
      </w:tr>
    </w:tbl>
    <w:p>
      <w:pPr>
        <w:spacing w:after="160" w:line="276"/>
      </w:pPr>
      <w:r>
        <w:rPr>
          <w:b w:val="false"/>
          <w:bCs w:val="false"/>
          <w:i/>
          <w:iCs/>
          <w:color w:val="1A1A1A"/>
          <w:sz w:val="21"/>
          <w:szCs w:val="21"/>
        </w:rPr>
        <w:t xml:space="preserve">Items from the User Requirement not covered above (custom drag-and-drop report builder, audio recording/transcription, offline survey capability, automated recommendation engine) are captured in the Phase 0 Project Planning Package as Future Phase / out-of-scope for this release.</w:t>
      </w:r>
    </w:p>
    <w:p>
      <w:pPr>
        <w:pStyle w:val="Heading1"/>
        <w:pBdr>
          <w:bottom w:val="single" w:color="1F4E79" w:sz="8" w:space="4"/>
        </w:pBdr>
        <w:spacing w:after="160" w:before="360"/>
      </w:pPr>
      <w:r>
        <w:rPr>
          <w:b/>
          <w:bCs/>
          <w:color w:val="1F4E79"/>
          <w:sz w:val="30"/>
          <w:szCs w:val="30"/>
        </w:rPr>
        <w:t xml:space="preserve">10.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2200"/>
        <w:gridCol w:w="2200"/>
      </w:tblGrid>
      <w:tr>
        <w:trPr>
          <w:tblHeader/>
        </w:trPr>
        <w:tc>
          <w:tcPr>
            <w:tcW w:type="dxa" w:w="2200"/>
            <w:shd w:fill="1F4E79" w:val="clear"/>
            <w:tcMar>
              <w:top w:type="dxa" w:w="80"/>
              <w:left w:type="dxa" w:w="120"/>
              <w:bottom w:type="dxa" w:w="80"/>
              <w:right w:type="dxa" w:w="120"/>
            </w:tcMar>
            <w:vAlign w:val="center"/>
          </w:tcPr>
          <w:p>
            <w:r>
              <w:rPr>
                <w:b/>
                <w:bCs/>
                <w:color w:val="FFFFFF"/>
                <w:sz w:val="20"/>
                <w:szCs w:val="20"/>
              </w:rPr>
              <w:t xml:space="preserve">Role</w:t>
            </w:r>
          </w:p>
        </w:tc>
        <w:tc>
          <w:tcPr>
            <w:tcW w:type="dxa" w:w="2760"/>
            <w:shd w:fill="1F4E79" w:val="clear"/>
            <w:tcMar>
              <w:top w:type="dxa" w:w="80"/>
              <w:left w:type="dxa" w:w="120"/>
              <w:bottom w:type="dxa" w:w="80"/>
              <w:right w:type="dxa" w:w="120"/>
            </w:tcMar>
            <w:vAlign w:val="center"/>
          </w:tcPr>
          <w:p>
            <w:r>
              <w:rPr>
                <w:b/>
                <w:bCs/>
                <w:color w:val="FFFFFF"/>
                <w:sz w:val="20"/>
                <w:szCs w:val="20"/>
              </w:rPr>
              <w:t xml:space="preserve">Name</w:t>
            </w:r>
          </w:p>
        </w:tc>
        <w:tc>
          <w:tcPr>
            <w:tcW w:type="dxa" w:w="2200"/>
            <w:shd w:fill="1F4E79" w:val="clear"/>
            <w:tcMar>
              <w:top w:type="dxa" w:w="80"/>
              <w:left w:type="dxa" w:w="120"/>
              <w:bottom w:type="dxa" w:w="80"/>
              <w:right w:type="dxa" w:w="120"/>
            </w:tcMar>
            <w:vAlign w:val="center"/>
          </w:tcPr>
          <w:p>
            <w:r>
              <w:rPr>
                <w:b/>
                <w:bCs/>
                <w:color w:val="FFFFFF"/>
                <w:sz w:val="20"/>
                <w:szCs w:val="20"/>
              </w:rPr>
              <w:t xml:space="preserve">Signature</w:t>
            </w:r>
          </w:p>
        </w:tc>
        <w:tc>
          <w:tcPr>
            <w:tcW w:type="dxa" w:w="2200"/>
            <w:shd w:fill="1F4E79" w:val="clear"/>
            <w:tcMar>
              <w:top w:type="dxa" w:w="80"/>
              <w:left w:type="dxa" w:w="120"/>
              <w:bottom w:type="dxa" w:w="80"/>
              <w:right w:type="dxa" w:w="120"/>
            </w:tcMar>
            <w:vAlign w:val="center"/>
          </w:tcPr>
          <w:p>
            <w:r>
              <w:rPr>
                <w:b/>
                <w:bCs/>
                <w:color w:val="FFFFFF"/>
                <w:sz w:val="20"/>
                <w:szCs w:val="20"/>
              </w:rPr>
              <w:t xml:space="preserve">Date</w:t>
            </w:r>
          </w:p>
        </w:tc>
      </w:tr>
      <w:tr>
        <w:tc>
          <w:tcPr>
            <w:tcW w:type="dxa" w:w="2200"/>
            <w:tcMar>
              <w:top w:type="dxa" w:w="80"/>
              <w:left w:type="dxa" w:w="120"/>
              <w:bottom w:type="dxa" w:w="80"/>
              <w:right w:type="dxa" w:w="120"/>
            </w:tcMar>
            <w:vAlign w:val="center"/>
          </w:tcPr>
          <w:p>
            <w:r>
              <w:rPr>
                <w:b w:val="false"/>
                <w:bCs w:val="false"/>
                <w:color w:val="1A1A1A"/>
                <w:sz w:val="20"/>
                <w:szCs w:val="20"/>
              </w:rPr>
              <w:t xml:space="preserve">Project Sponsor</w:t>
            </w:r>
          </w:p>
        </w:tc>
        <w:tc>
          <w:tcPr>
            <w:tcW w:type="dxa" w:w="2760"/>
            <w:tcMar>
              <w:top w:type="dxa" w:w="80"/>
              <w:left w:type="dxa" w:w="120"/>
              <w:bottom w:type="dxa" w:w="80"/>
              <w:right w:type="dxa" w:w="120"/>
            </w:tcMar>
            <w:vAlign w:val="center"/>
          </w:tcPr>
          <w:p>
            <w:r>
              <w:rPr>
                <w:b w:val="false"/>
                <w:bCs w:val="false"/>
                <w:color w:val="1A1A1A"/>
                <w:sz w:val="20"/>
                <w:szCs w:val="20"/>
              </w:rPr>
              <w:t xml:space="preserve">Marketing Department</w:t>
            </w:r>
          </w:p>
        </w:tc>
        <w:tc>
          <w:tcPr>
            <w:tcW w:type="dxa" w:w="2200"/>
            <w:tcMar>
              <w:top w:type="dxa" w:w="80"/>
              <w:left w:type="dxa" w:w="120"/>
              <w:bottom w:type="dxa" w:w="80"/>
              <w:right w:type="dxa" w:w="120"/>
            </w:tcMar>
            <w:vAlign w:val="center"/>
          </w:tcPr>
          <w:p>
            <w:r>
              <w:rPr>
                <w:b w:val="false"/>
                <w:bCs w:val="false"/>
                <w:color w:val="1A1A1A"/>
                <w:sz w:val="20"/>
                <w:szCs w:val="20"/>
              </w:rPr>
              <w:t xml:space="preserve"/>
            </w:r>
          </w:p>
        </w:tc>
        <w:tc>
          <w:tcPr>
            <w:tcW w:type="dxa" w:w="2200"/>
            <w:tcMar>
              <w:top w:type="dxa" w:w="80"/>
              <w:left w:type="dxa" w:w="120"/>
              <w:bottom w:type="dxa" w:w="80"/>
              <w:right w:type="dxa" w:w="120"/>
            </w:tcMar>
            <w:vAlign w:val="center"/>
          </w:tcPr>
          <w:p>
            <w:r>
              <w:rPr>
                <w:b w:val="false"/>
                <w:bCs w:val="false"/>
                <w:color w:val="1A1A1A"/>
                <w:sz w:val="20"/>
                <w:szCs w:val="20"/>
              </w:rPr>
              <w:t xml:space="preserve"/>
            </w:r>
          </w:p>
        </w:tc>
      </w:tr>
      <w:tr>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Requesting Officer</w:t>
            </w:r>
          </w:p>
        </w:tc>
        <w:tc>
          <w:tcPr>
            <w:tcW w:type="dxa" w:w="2760"/>
            <w:shd w:fill="F2F2F2" w:val="clear"/>
            <w:tcMar>
              <w:top w:type="dxa" w:w="80"/>
              <w:left w:type="dxa" w:w="120"/>
              <w:bottom w:type="dxa" w:w="80"/>
              <w:right w:type="dxa" w:w="120"/>
            </w:tcMar>
            <w:vAlign w:val="center"/>
          </w:tcPr>
          <w:p>
            <w:r>
              <w:rPr>
                <w:b w:val="false"/>
                <w:bCs w:val="false"/>
                <w:color w:val="1A1A1A"/>
                <w:sz w:val="20"/>
                <w:szCs w:val="20"/>
              </w:rPr>
              <w:t xml:space="preserve">Mr. Tsegaye Nigusie</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
            </w:r>
          </w:p>
        </w:tc>
      </w:tr>
      <w:tr>
        <w:tc>
          <w:tcPr>
            <w:tcW w:type="dxa" w:w="2200"/>
            <w:tcMar>
              <w:top w:type="dxa" w:w="80"/>
              <w:left w:type="dxa" w:w="120"/>
              <w:bottom w:type="dxa" w:w="80"/>
              <w:right w:type="dxa" w:w="120"/>
            </w:tcMar>
            <w:vAlign w:val="center"/>
          </w:tcPr>
          <w:p>
            <w:r>
              <w:rPr>
                <w:b w:val="false"/>
                <w:bCs w:val="false"/>
                <w:color w:val="1A1A1A"/>
                <w:sz w:val="20"/>
                <w:szCs w:val="20"/>
              </w:rPr>
              <w:t xml:space="preserve">CTO</w:t>
            </w:r>
          </w:p>
        </w:tc>
        <w:tc>
          <w:tcPr>
            <w:tcW w:type="dxa" w:w="2760"/>
            <w:tcMar>
              <w:top w:type="dxa" w:w="80"/>
              <w:left w:type="dxa" w:w="120"/>
              <w:bottom w:type="dxa" w:w="80"/>
              <w:right w:type="dxa" w:w="120"/>
            </w:tcMar>
            <w:vAlign w:val="center"/>
          </w:tcPr>
          <w:p>
            <w:r>
              <w:rPr>
                <w:b w:val="false"/>
                <w:bCs w:val="false"/>
                <w:color w:val="1A1A1A"/>
                <w:sz w:val="20"/>
                <w:szCs w:val="20"/>
              </w:rPr>
              <w:t xml:space="preserve">Mr. Melkamu Alamerew</w:t>
            </w:r>
          </w:p>
        </w:tc>
        <w:tc>
          <w:tcPr>
            <w:tcW w:type="dxa" w:w="2200"/>
            <w:tcMar>
              <w:top w:type="dxa" w:w="80"/>
              <w:left w:type="dxa" w:w="120"/>
              <w:bottom w:type="dxa" w:w="80"/>
              <w:right w:type="dxa" w:w="120"/>
            </w:tcMar>
            <w:vAlign w:val="center"/>
          </w:tcPr>
          <w:p>
            <w:r>
              <w:rPr>
                <w:b w:val="false"/>
                <w:bCs w:val="false"/>
                <w:color w:val="1A1A1A"/>
                <w:sz w:val="20"/>
                <w:szCs w:val="20"/>
              </w:rPr>
              <w:t xml:space="preserve"/>
            </w:r>
          </w:p>
        </w:tc>
        <w:tc>
          <w:tcPr>
            <w:tcW w:type="dxa" w:w="2200"/>
            <w:tcMar>
              <w:top w:type="dxa" w:w="80"/>
              <w:left w:type="dxa" w:w="120"/>
              <w:bottom w:type="dxa" w:w="80"/>
              <w:right w:type="dxa" w:w="120"/>
            </w:tcMar>
            <w:vAlign w:val="center"/>
          </w:tcPr>
          <w:p>
            <w:r>
              <w:rPr>
                <w:b w:val="false"/>
                <w:bCs w:val="false"/>
                <w:color w:val="1A1A1A"/>
                <w:sz w:val="20"/>
                <w:szCs w:val="20"/>
              </w:rPr>
              <w:t xml:space="preserve"/>
            </w:r>
          </w:p>
        </w:tc>
      </w:tr>
      <w:tr>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Project Manager</w:t>
            </w:r>
          </w:p>
        </w:tc>
        <w:tc>
          <w:tcPr>
            <w:tcW w:type="dxa" w:w="2760"/>
            <w:shd w:fill="F2F2F2" w:val="clear"/>
            <w:tcMar>
              <w:top w:type="dxa" w:w="80"/>
              <w:left w:type="dxa" w:w="120"/>
              <w:bottom w:type="dxa" w:w="80"/>
              <w:right w:type="dxa" w:w="120"/>
            </w:tcMar>
            <w:vAlign w:val="center"/>
          </w:tcPr>
          <w:p>
            <w:r>
              <w:rPr>
                <w:b w:val="false"/>
                <w:bCs w:val="false"/>
                <w:color w:val="1A1A1A"/>
                <w:sz w:val="20"/>
                <w:szCs w:val="20"/>
              </w:rPr>
              <w:t xml:space="preserve">Mr. Estifanos Alemseged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
            </w:r>
          </w:p>
        </w:tc>
      </w:tr>
      <w:tr>
        <w:tc>
          <w:tcPr>
            <w:tcW w:type="dxa" w:w="2200"/>
            <w:tcMar>
              <w:top w:type="dxa" w:w="80"/>
              <w:left w:type="dxa" w:w="120"/>
              <w:bottom w:type="dxa" w:w="80"/>
              <w:right w:type="dxa" w:w="120"/>
            </w:tcMar>
            <w:vAlign w:val="center"/>
          </w:tcPr>
          <w:p>
            <w:r>
              <w:rPr>
                <w:b w:val="false"/>
                <w:bCs w:val="false"/>
                <w:color w:val="1A1A1A"/>
                <w:sz w:val="20"/>
                <w:szCs w:val="20"/>
              </w:rPr>
              <w:t xml:space="preserve">Solution Author</w:t>
            </w:r>
          </w:p>
        </w:tc>
        <w:tc>
          <w:tcPr>
            <w:tcW w:type="dxa" w:w="2760"/>
            <w:tcMar>
              <w:top w:type="dxa" w:w="80"/>
              <w:left w:type="dxa" w:w="120"/>
              <w:bottom w:type="dxa" w:w="80"/>
              <w:right w:type="dxa" w:w="120"/>
            </w:tcMar>
            <w:vAlign w:val="center"/>
          </w:tcPr>
          <w:p>
            <w:r>
              <w:rPr>
                <w:b w:val="false"/>
                <w:bCs w:val="false"/>
                <w:color w:val="1A1A1A"/>
                <w:sz w:val="20"/>
                <w:szCs w:val="20"/>
              </w:rPr>
              <w:t xml:space="preserve">Mr. Woluman Urgesa</w:t>
            </w:r>
          </w:p>
        </w:tc>
        <w:tc>
          <w:tcPr>
            <w:tcW w:type="dxa" w:w="2200"/>
            <w:tcMar>
              <w:top w:type="dxa" w:w="80"/>
              <w:left w:type="dxa" w:w="120"/>
              <w:bottom w:type="dxa" w:w="80"/>
              <w:right w:type="dxa" w:w="120"/>
            </w:tcMar>
            <w:vAlign w:val="center"/>
          </w:tcPr>
          <w:p>
            <w:r>
              <w:rPr>
                <w:b w:val="false"/>
                <w:bCs w:val="false"/>
                <w:color w:val="1A1A1A"/>
                <w:sz w:val="20"/>
                <w:szCs w:val="20"/>
              </w:rPr>
              <w:t xml:space="preserve"/>
            </w:r>
          </w:p>
        </w:tc>
        <w:tc>
          <w:tcPr>
            <w:tcW w:type="dxa" w:w="2200"/>
            <w:tcMar>
              <w:top w:type="dxa" w:w="80"/>
              <w:left w:type="dxa" w:w="120"/>
              <w:bottom w:type="dxa" w:w="80"/>
              <w:right w:type="dxa" w:w="120"/>
            </w:tcMar>
            <w:vAlign w:val="center"/>
          </w:tcPr>
          <w:p>
            <w:r>
              <w:rPr>
                <w:b w:val="false"/>
                <w:bCs w:val="false"/>
                <w:color w:val="1A1A1A"/>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KG-MIS — Functional Design Specification (FDS)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7bc307235acf99cac36ec93eb5be0597165db1.png"/><Relationship Id="rId10" Type="http://schemas.openxmlformats.org/officeDocument/2006/relationships/image" Target="media/ca0b4a559bb55b56d3edee402184789107352d92.png"/><Relationship Id="rId11" Type="http://schemas.openxmlformats.org/officeDocument/2006/relationships/image" Target="media/78db66064aeefcd858942cea8c7479e277bd66d6.png"/><Relationship Id="rId12" Type="http://schemas.openxmlformats.org/officeDocument/2006/relationships/image" Target="media/dd37a45eeb22720243d8017454044b45b30abada.png"/><Relationship Id="rId13" Type="http://schemas.openxmlformats.org/officeDocument/2006/relationships/image" Target="media/66ea2a646f59cb63e3ba44ca3d13db8ae771abb7.png"/><Relationship Id="rId14" Type="http://schemas.openxmlformats.org/officeDocument/2006/relationships/image" Target="media/951f67961a909ca43b83835e1aa66a0fad4159b4.png"/><Relationship Id="rId15" Type="http://schemas.openxmlformats.org/officeDocument/2006/relationships/image" Target="media/23eab27cd45492d192a9bdc1304dd4759397b72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2026-08-06T18:13:15.337Z</dcterms:created>
  <dcterms:modified xsi:type="dcterms:W3CDTF">2026-08-06T18:13:15.337Z</dcterms:modified>
</cp:coreProperties>
</file>

<file path=docProps/custom.xml><?xml version="1.0" encoding="utf-8"?>
<Properties xmlns="http://schemas.openxmlformats.org/officeDocument/2006/custom-properties" xmlns:vt="http://schemas.openxmlformats.org/officeDocument/2006/docPropsVTypes"/>
</file>