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IT Department (Solution Development)</w:t>
      </w:r>
    </w:p>
    <w:p>
      <w:pPr>
        <w:spacing w:after="60" w:before="200"/>
        <w:jc w:val="center"/>
      </w:pPr>
      <w:r>
        <w:rPr>
          <w:b/>
          <w:bCs/>
          <w:color w:val="1F4E79"/>
          <w:sz w:val="34"/>
          <w:szCs w:val="34"/>
        </w:rPr>
        <w:t xml:space="preserve">Hybrid Market Intelligence System (MIS)</w:t>
      </w:r>
    </w:p>
    <w:p>
      <w:pPr>
        <w:spacing w:after="40"/>
        <w:jc w:val="center"/>
      </w:pPr>
      <w:r>
        <w:rPr>
          <w:b/>
          <w:bCs/>
          <w:color w:val="1A1A1A"/>
          <w:sz w:val="40"/>
          <w:szCs w:val="40"/>
        </w:rPr>
        <w:t xml:space="preserve">Integration Design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Project Code: KG-MIS-2026-DEV-PROPOSAL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Marketing Department, Kerchanshe Group</w:t>
            </w:r>
          </w:p>
        </w:tc>
      </w:tr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Requesting Officer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Mr. Tsegaye Nigusie — Marketing Intelligence Officer</w:t>
            </w:r>
          </w:p>
        </w:tc>
      </w:tr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Delivery Owner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IT Department (Solution Development)</w:t>
            </w:r>
          </w:p>
        </w:tc>
      </w:tr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CTO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Mr. Melkamu Alamerew</w:t>
            </w:r>
          </w:p>
        </w:tc>
      </w:tr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Mr. Estifanos Alemseged</w:t>
            </w:r>
          </w:p>
        </w:tc>
      </w:tr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 Author / Developer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Mr. Woluman Urgesa</w:t>
            </w:r>
          </w:p>
        </w:tc>
      </w:tr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QA / Test Engineer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Mr. Hirko Gemechu</w:t>
            </w:r>
          </w:p>
        </w:tc>
      </w:tr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Based On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KG-MIS Solution Design Document (SDD) v1.0 and Functional Design Specification (FDS) v1.0</w:t>
            </w:r>
          </w:p>
        </w:tc>
      </w:tr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Companion Documents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Solution Design Document (SDD) · Functional Design Specification (FDS) · Technical Design Specification (TDS) · Security Matrix</w:t>
            </w:r>
          </w:p>
        </w:tc>
      </w:tr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Draft v1.0 — For Review</w:t>
            </w:r>
          </w:p>
        </w:tc>
      </w:tr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Prepared Date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06 August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Table of Contents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1. Introduction</w:t>
      </w:r>
      <w:r>
        <w:rPr>
          <w:b/>
          <w:bCs/>
          <w:color w:val="1F4E79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60"/>
        <w:ind w:left="260"/>
      </w:pPr>
      <w:r>
        <w:rPr>
          <w:b w:val="false"/>
          <w:bCs w:val="false"/>
          <w:color w:val="1A1A1A"/>
          <w:sz w:val="20"/>
          <w:szCs w:val="20"/>
        </w:rPr>
        <w:t xml:space="preserve">1.1 Purpose</w:t>
      </w:r>
      <w:r>
        <w:rPr>
          <w:b w:val="false"/>
          <w:bCs w:val="false"/>
          <w:color w:val="1A1A1A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60"/>
        <w:ind w:left="260"/>
      </w:pPr>
      <w:r>
        <w:rPr>
          <w:b w:val="false"/>
          <w:bCs w:val="false"/>
          <w:color w:val="1A1A1A"/>
          <w:sz w:val="20"/>
          <w:szCs w:val="20"/>
        </w:rPr>
        <w:t xml:space="preserve">1.2 Scope of This Document</w:t>
      </w:r>
      <w:r>
        <w:rPr>
          <w:b w:val="false"/>
          <w:bCs w:val="false"/>
          <w:color w:val="1A1A1A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60"/>
        <w:ind w:left="260"/>
      </w:pPr>
      <w:r>
        <w:rPr>
          <w:b w:val="false"/>
          <w:bCs w:val="false"/>
          <w:color w:val="1A1A1A"/>
          <w:sz w:val="20"/>
          <w:szCs w:val="20"/>
        </w:rPr>
        <w:t xml:space="preserve">1.3 References</w:t>
      </w:r>
      <w:r>
        <w:rPr>
          <w:b w:val="false"/>
          <w:bCs w:val="false"/>
          <w:color w:val="1A1A1A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2. Integration Overview</w:t>
      </w:r>
      <w:r>
        <w:rPr>
          <w:b/>
          <w:bCs/>
          <w:color w:val="1F4E79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3. D365FO Integration</w:t>
      </w:r>
      <w:r>
        <w:rPr>
          <w:b/>
          <w:bCs/>
          <w:color w:val="1F4E79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60"/>
        <w:ind w:left="260"/>
      </w:pPr>
      <w:r>
        <w:rPr>
          <w:b w:val="false"/>
          <w:bCs w:val="false"/>
          <w:color w:val="1A1A1A"/>
          <w:sz w:val="20"/>
          <w:szCs w:val="20"/>
        </w:rPr>
        <w:t xml:space="preserve">3.1 Design Summary</w:t>
      </w:r>
      <w:r>
        <w:rPr>
          <w:b w:val="false"/>
          <w:bCs w:val="false"/>
          <w:color w:val="1A1A1A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60"/>
        <w:ind w:left="260"/>
      </w:pPr>
      <w:r>
        <w:rPr>
          <w:b w:val="false"/>
          <w:bCs w:val="false"/>
          <w:color w:val="1A1A1A"/>
          <w:sz w:val="20"/>
          <w:szCs w:val="20"/>
        </w:rPr>
        <w:t xml:space="preserve">3.2 Entity Mapping</w:t>
      </w:r>
      <w:r>
        <w:rPr>
          <w:b w:val="false"/>
          <w:bCs w:val="false"/>
          <w:color w:val="1A1A1A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60"/>
        <w:ind w:left="260"/>
      </w:pPr>
      <w:r>
        <w:rPr>
          <w:b w:val="false"/>
          <w:bCs w:val="false"/>
          <w:color w:val="1A1A1A"/>
          <w:sz w:val="20"/>
          <w:szCs w:val="20"/>
        </w:rPr>
        <w:t xml:space="preserve">3.3 Sync Flow</w:t>
      </w:r>
      <w:r>
        <w:rPr>
          <w:b w:val="false"/>
          <w:bCs w:val="false"/>
          <w:color w:val="1A1A1A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4. CUAS Integration</w:t>
      </w:r>
      <w:r>
        <w:rPr>
          <w:b/>
          <w:bCs/>
          <w:color w:val="1F4E79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60"/>
        <w:ind w:left="260"/>
      </w:pPr>
      <w:r>
        <w:rPr>
          <w:b w:val="false"/>
          <w:bCs w:val="false"/>
          <w:color w:val="1A1A1A"/>
          <w:sz w:val="20"/>
          <w:szCs w:val="20"/>
        </w:rPr>
        <w:t xml:space="preserve">4.1 Design Summary</w:t>
      </w:r>
      <w:r>
        <w:rPr>
          <w:b w:val="false"/>
          <w:bCs w:val="false"/>
          <w:color w:val="1A1A1A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60"/>
        <w:ind w:left="260"/>
      </w:pPr>
      <w:r>
        <w:rPr>
          <w:b w:val="false"/>
          <w:bCs w:val="false"/>
          <w:color w:val="1A1A1A"/>
          <w:sz w:val="20"/>
          <w:szCs w:val="20"/>
        </w:rPr>
        <w:t xml:space="preserve">4.2 Role Mapping</w:t>
      </w:r>
      <w:r>
        <w:rPr>
          <w:b w:val="false"/>
          <w:bCs w:val="false"/>
          <w:color w:val="1A1A1A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60"/>
        <w:ind w:left="260"/>
      </w:pPr>
      <w:r>
        <w:rPr>
          <w:b w:val="false"/>
          <w:bCs w:val="false"/>
          <w:color w:val="1A1A1A"/>
          <w:sz w:val="20"/>
          <w:szCs w:val="20"/>
        </w:rPr>
        <w:t xml:space="preserve">4.3 Login Flow</w:t>
      </w:r>
      <w:r>
        <w:rPr>
          <w:b w:val="false"/>
          <w:bCs w:val="false"/>
          <w:color w:val="1A1A1A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5. CNS Integration</w:t>
      </w:r>
      <w:r>
        <w:rPr>
          <w:b/>
          <w:bCs/>
          <w:color w:val="1F4E79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60"/>
        <w:ind w:left="260"/>
      </w:pPr>
      <w:r>
        <w:rPr>
          <w:b w:val="false"/>
          <w:bCs w:val="false"/>
          <w:color w:val="1A1A1A"/>
          <w:sz w:val="20"/>
          <w:szCs w:val="20"/>
        </w:rPr>
        <w:t xml:space="preserve">5.1 Design Summary</w:t>
      </w:r>
      <w:r>
        <w:rPr>
          <w:b w:val="false"/>
          <w:bCs w:val="false"/>
          <w:color w:val="1A1A1A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60"/>
        <w:ind w:left="260"/>
      </w:pPr>
      <w:r>
        <w:rPr>
          <w:b w:val="false"/>
          <w:bCs w:val="false"/>
          <w:color w:val="1A1A1A"/>
          <w:sz w:val="20"/>
          <w:szCs w:val="20"/>
        </w:rPr>
        <w:t xml:space="preserve">5.2 Trigger Events</w:t>
      </w:r>
      <w:r>
        <w:rPr>
          <w:b w:val="false"/>
          <w:bCs w:val="false"/>
          <w:color w:val="1A1A1A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60"/>
        <w:ind w:left="260"/>
      </w:pPr>
      <w:r>
        <w:rPr>
          <w:b w:val="false"/>
          <w:bCs w:val="false"/>
          <w:color w:val="1A1A1A"/>
          <w:sz w:val="20"/>
          <w:szCs w:val="20"/>
        </w:rPr>
        <w:t xml:space="preserve">5.3 Notification Flow</w:t>
      </w:r>
      <w:r>
        <w:rPr>
          <w:b w:val="false"/>
          <w:bCs w:val="false"/>
          <w:color w:val="1A1A1A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6. Power BI Integration</w:t>
      </w:r>
      <w:r>
        <w:rPr>
          <w:b/>
          <w:bCs/>
          <w:color w:val="1F4E79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60"/>
        <w:ind w:left="260"/>
      </w:pPr>
      <w:r>
        <w:rPr>
          <w:b w:val="false"/>
          <w:bCs w:val="false"/>
          <w:color w:val="1A1A1A"/>
          <w:sz w:val="20"/>
          <w:szCs w:val="20"/>
        </w:rPr>
        <w:t xml:space="preserve">6.1 Design Summary</w:t>
      </w:r>
      <w:r>
        <w:rPr>
          <w:b w:val="false"/>
          <w:bCs w:val="false"/>
          <w:color w:val="1A1A1A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60"/>
        <w:ind w:left="260"/>
      </w:pPr>
      <w:r>
        <w:rPr>
          <w:b w:val="false"/>
          <w:bCs w:val="false"/>
          <w:color w:val="1A1A1A"/>
          <w:sz w:val="20"/>
          <w:szCs w:val="20"/>
        </w:rPr>
        <w:t xml:space="preserve">6.2 Embedding Flow</w:t>
      </w:r>
      <w:r>
        <w:rPr>
          <w:b w:val="false"/>
          <w:bCs w:val="false"/>
          <w:color w:val="1A1A1A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7. Error Handling &amp; Retry Summary</w:t>
      </w:r>
      <w:r>
        <w:rPr>
          <w:b/>
          <w:bCs/>
          <w:color w:val="1F4E79"/>
          <w:sz w:val="21"/>
          <w:szCs w:val="21"/>
        </w:rPr>
        <w:t xml:space="preserve">	7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8. Approval</w:t>
      </w:r>
      <w:r>
        <w:rPr>
          <w:b/>
          <w:bCs/>
          <w:color w:val="1F4E79"/>
          <w:sz w:val="21"/>
          <w:szCs w:val="21"/>
        </w:rPr>
        <w:t xml:space="preserve">	7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1. Introduction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1.1 Purpose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Integration Design document defines the contract-level design for each of KG-MIS's four external integrations — D365FO, CUAS, CNS, and Power BI — elaborating the API &amp; Integration Design activity of the Solution Design phase. It states protocol, direction, data exchanged, frequency, authentication, and error/retry handling for each integration, supplementing the functional behavior already defined in the FDS and the endpoint-level API design in the TDS.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1.2 Scope of This Document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document covers KG-MIS's outbound and inbound integration contracts with D365FO (master data), CUAS (authentication), CNS (notifications), and Power BI (analytics). It does not define the internal /api/v1 endpoints KG-MIS itself exposes to its own web portal — those are defined in the TDS — nor the role-to-permission matrix, which is defined in the Security Matrix.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1.3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REF-01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KG-MIS Solution Design Document (SDD) v1.0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Architecture and integration layer design approach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REF-02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KG-MIS Functional Design Specification (FDS) v1.0</w:t>
            </w:r>
          </w:p>
        </w:tc>
        <w:tc>
          <w:tcPr>
            <w:tcW w:type="dxa" w:w="4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EPIC-03/04/05/06 functional requirements these integrations implement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REF-03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KG-MIS Technical Design Specification (TDS) v1.0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Internal API design and data dictionary referenced by these integrations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 Integration Overview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KG-MIS integrates with four external systems, each isolated behind its own connector module per the SDD's integration layer design (SDD Section 4.4), so a change to one integration does not affect the others or the core business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D365FO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Inbound to KG-MIS (read-only)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OData/REST over HTTPS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Customer, product, and sales master data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CUAS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KG-MIS redirects out; CUAS returns identity token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SSO/OAuth2 (or SAML) redirect flow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Authentication and role claims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CNS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Outbound only (KG-MIS → CNS)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 API call with event payload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Email/SMS/WhatsApp notifications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Power BI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KG-MIS reporting views → Power BI (pull); embed token ← Power BI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Power BI REST API / embed SDK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Dashboards and scheduled reports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3. D365FO Integration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Keeps KG-MIS supplied with authoritative customer, product, and sales data from D365FO so field data can be linked to real master records instead of being re-entered (FDS EPIC-03).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3.1 Design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Protocol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OData/REST over HTTPS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Inbound to KG-MIS (read-only in this release)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pulled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Customer/Distributor master, Product master, Sales transactions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Scheduled sync job (configurable; daily by default), plus on-demand admin trigger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Service-to-service credentials issued by the D365FO team (OAuth2 client credentials, per D365FO API standard)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Failed run is logged in SyncLog and does not overwrite the last good cache; alert sent to Administrator via CNS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3.2 Entity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D365FO Entity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KG-MIS Entity</w:t>
            </w:r>
          </w:p>
        </w:tc>
        <w:tc>
          <w:tcPr>
            <w:tcW w:type="dxa" w:w="4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 (cache)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Distributor/customer master, read-only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 (cache)</w:t>
            </w:r>
          </w:p>
        </w:tc>
        <w:tc>
          <w:tcPr>
            <w:tcW w:type="dxa" w:w="4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 master, read-only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Sales Order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SalesRecord (cache)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Used for KPI calculation in Power BI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3.3 Sync Flow</w:t>
      </w:r>
    </w:p>
    <w:p>
      <w:pPr>
        <w:jc w:val="center"/>
      </w:pPr>
      <w:r>
        <w:drawing>
          <wp:inline distT="0" distB="0" distL="0" distR="0">
            <wp:extent cx="571500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1 — D365FO Sync Flow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 sync run starts on schedule or is triggered manually by an Administrator. The API calls D365FO's OData/REST endpoints to retrieve customer, product, and sales data. On success, the data is mapped per the table above, the cache is updated, and the run is logged in SyncLog; on failure, the error is logged and the last good cache is retained unchanged, with an alert sent to the Administrator via CNS.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 CUAS Integration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Uses the corporate CUAS system for authentication and role mapping, so KG-MIS does not maintain a separate username/password store (FDS EPIC-04).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4.1 Design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Protocol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SSO/OAuth2 (or SAML, per CUAS standard) redirect flow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KG-MIS redirects unauthenticated users to CUAS; CUAS returns an identity token with role claims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Role mapping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CUAS role/claim values mapped to internal roles in a configuration table (see Section 4.2)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Session handling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KG-MIS issues its own short-lived session token after validating the CUAS token; session expires after configurable inactivity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Login failure or missing role mapping returns an access-denied screen; no default access is granted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4.2 Role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CUAS Claim</w:t>
            </w:r>
          </w:p>
        </w:tc>
        <w:tc>
          <w:tcPr>
            <w:tcW w:type="dxa" w:w="46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Internal Role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(configured per CUAS group)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(configured per CUAS group)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Marketing Manager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(configured per CUAS group)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Marketing Analyst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(configured per CUAS group)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Officer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(configured per CUAS group)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Viewer</w:t>
            </w:r>
          </w:p>
        </w:tc>
      </w:tr>
    </w:tbl>
    <w:p>
      <w:pPr>
        <w:spacing w:after="160" w:line="276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Exact CUAS claim/group values are confirmed with the CUAS team during integration build and maintained in the role-mapping configuration table; the full role-to-permission matrix is defined in the Security Matrix.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4.3 Login Flow</w:t>
      </w:r>
    </w:p>
    <w:p>
      <w:pPr>
        <w:jc w:val="center"/>
      </w:pPr>
      <w:r>
        <w:drawing>
          <wp:inline distT="0" distB="0" distL="0" distR="0">
            <wp:extent cx="5715000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2 — CUAS Login Flow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 user accessing the portal is redirected to CUAS for SSO login. CUAS authenticates the user and returns role claims; if a mapped role is found, a session is created and access is granted per that role. If no mapped role is found, access is denied with a clear message and no default elevated access is given.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5. CNS Integration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Sends automatic alerts through the corporate CNS service instead of relying on manual follow-up (FDS EPIC-05).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5.1 Design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Protocol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 API call to CNS with event payload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Outbound only (KG-MIS → CNS)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Channels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Email, SMS, WhatsApp (per CNS capability)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Trigger events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New market visit report, survey published, price-gap alert, sync failure (admin only)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Retry policy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One retry on failure; final status logged in Notification.Status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5.2 Trigger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Channel</w:t>
            </w:r>
          </w:p>
        </w:tc>
        <w:tc>
          <w:tcPr>
            <w:tcW w:type="dxa" w:w="3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Recipient Role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New market visit report submitted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Marketing Manager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Survey published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Officer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Price-gap alert raised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 / SMS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Marketing Analyst, Marketing Manager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D365FO sync failure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Administrator</w:t>
            </w:r>
          </w:p>
        </w:tc>
      </w:tr>
    </w:tbl>
    <w:p>
      <w:pPr>
        <w:spacing w:after="160" w:line="276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Defaults are configurable by an Administrator via the notification configuration endpoint defined in the TDS (Section 4.7).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5.3 Notification Flow</w:t>
      </w:r>
    </w:p>
    <w:p>
      <w:pPr>
        <w:jc w:val="center"/>
      </w:pPr>
      <w:r>
        <w:drawing>
          <wp:inline distT="0" distB="0" distL="0" distR="0">
            <wp:extent cx="5715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3 — CNS Notification Flow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 trigger event (e.g. a report submitted or a price-gap alert raised) causes the system to build a notification and send it via CNS on the configured channel. CNS returns a delivery status, which is logged; a failed delivery is retried once before being marked failed.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6. Power BI Integration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Turns collected field, survey, and pricing data (plus D365FO sales data) into dashboards and scheduled reports for management (FDS EPIC-06).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6.1 Design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Power BI connects to dedicated reporting views in MS SQL Server (not raw transactional tables)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Scheduled refresh aligned with D365FO sync and portal data updates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Embedding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Selected dashboards embedded in the web portal via Power BI embed token, requested by the API layer on behalf of the logged-in user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Row-level security in Power BI mirrors KG-MIS role-based access where applicable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6.2 Embedding Flow</w:t>
      </w:r>
    </w:p>
    <w:p>
      <w:pPr>
        <w:jc w:val="center"/>
      </w:pPr>
      <w:r>
        <w:drawing>
          <wp:inline distT="0" distB="0" distL="0" distR="0">
            <wp:extent cx="5715000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4 — Power BI Embedding Flow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Power BI refreshes on a schedule from the reporting views built on top of the transactional database. Once a dashboard is published, a role-based access check determines whether a user sees it embedded in the web portal (via a scoped embed token requested server-side) or accesses it directly in Power BI.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7. Error Handling &amp; Retry Summary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Consolidated view of failure handling across all four integrations; each is detailed in its own section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60"/>
        <w:gridCol w:w="2200"/>
        <w:gridCol w:w="24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Failure Behavior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Retry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Alerting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D365FO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Last good cache retained; run logged as failed in SyncLog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Next scheduled run (or manual trigger)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CNS alert to Administrator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CUAS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Access denied screen; no default access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 retries login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None (expected user-facing outcome)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CNS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Delivery marked failed after retry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One automatic retry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Logged in Notification.Status for admin review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Power BI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Stale dashboard data until next successful refresh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Next scheduled refresh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Refresh failure visible in Power BI service admin view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8.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2200"/>
        <w:gridCol w:w="22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Marketing Department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Requesting Officer</w:t>
            </w:r>
          </w:p>
        </w:tc>
        <w:tc>
          <w:tcPr>
            <w:tcW w:type="dxa" w:w="2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Mr. Tsegaye Nigusie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CTO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Mr. Melkamu Alamerew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Mr. Estifanos Alemseged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Solution Author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Mr. Woluman Urgesa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KG-MIS — Integration Design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7bc307235acf99cac36ec93eb5be0597165db1.png"/><Relationship Id="rId10" Type="http://schemas.openxmlformats.org/officeDocument/2006/relationships/image" Target="media/dd37a45eeb22720243d8017454044b45b30abada.png"/><Relationship Id="rId11" Type="http://schemas.openxmlformats.org/officeDocument/2006/relationships/image" Target="media/66ea2a646f59cb63e3ba44ca3d13db8ae771abb7.png"/><Relationship Id="rId12" Type="http://schemas.openxmlformats.org/officeDocument/2006/relationships/image" Target="media/951f67961a909ca43b83835e1aa66a0fad4159b4.png"/><Relationship Id="rId13" Type="http://schemas.openxmlformats.org/officeDocument/2006/relationships/image" Target="media/23eab27cd45492d192a9bdc1304dd4759397b72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2026-08-06T18:22:36.258Z</dcterms:created>
  <dcterms:modified xsi:type="dcterms:W3CDTF">2026-08-06T18:22:36.259Z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