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Controlled Environment Agriculture Strategies for Optimizing Yield and Phytochemical Density in Microgreens and Sprouts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Functional Food Paradigm in Modern Agronomy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transition of microgreens and sprouts from niche culinary garnishes to recognized functional foods represents a profound paradigm shift in both human nutrition and agricultural science. Harvested at the cotyledonary stage—typically 7 to 21 days post-germination—microgreens exhibit a unique physiological state characterized by the rapid mobilization of endogenous seed reserves and the onset of autotrophic photosynthesis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brief transitional phase produces an exceptionally concentrated phytochemical profile. Empirical studies and systematic reviews consistently demonstrate that the nutrient density of microgreens and sprouts can exceed that of their mature vegetable counterparts by factors ranging from 4 to 40 times, depending on the specific vitamin, mineral, or secondary metabolite being quantified</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optimization of these crops relies heavily on Controlled Environment Agriculture (CEA), where every agronomic input—particularly the growth substrate and the spectral quality of light—can be meticulously calibrated</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These inputs do not merely facilitate basal growth; they act as potent abiotic elicitors that trigger secondary metabolic pathways. By precisely manipulating environmental stressors, cultivation can be engineered to biofortify these plants, maximizing the accumulation of specific bioactive compounds such as glucosinolates, polyphenols, ascorbic acid, and specific trace minerals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profound nutritional potential of microgreens and sprouts positions them as critical assets in combating global micronutrient deficiencies and managing chronic, non-communicable diseases associated with modern sedentary lifestyles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Morphological, Biochemical, and Physiological Distinctions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often grouped together in consumer markets, sprouts and microgreens possess distinct growth parameters, harvest protocols, and biochemical compositions that dictate their precise cultivation requirements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Understanding the physiological divergence between these two developmental stages is paramount for optimizing their respective yields and functional qualities.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Sprouts represent the earliest stage of plant development. They are germinated seeds consumed in their entirety, encompassing the seed coat, the radicle, and the hypocotyl. Sprouts are primarily grown in dark, highly humid environments without external nutrient inputs or solid substrates. They rely entirely on the hydrolytic enzymes activated during the imbibition and germination phases to break down stored macromolecules into simpler, bioaccessible compounds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This enzymatic cascade effectively degrades antinutritional factors, such as phytic acid, tannins, cyanides, and trypsin inhibitors, thereby enhancing the palatability and bioavailability of essential minerals like iron and calcium, as well as improving overall protein digestibility</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However, the warm, dark, and highly humid conditions required for optimal sprouting also create an ideal vector for pathogenic proliferation, rendering the crop highly susceptible to bacterial contamination</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Microgreens, conversely, require light, a structured growth medium, and frequently a supplemented nutrient solution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They are harvested by severing the stem just above the root system once the cotyledons are fully expanded and the first true leaves begin to emerge. This photomorphogenic phase allows microgreens to synthesize exceptionally high levels of photosynthetic pigments, including chlorophylls and carotenoids, as well as light-induced antioxidants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The biochemical disparities between the two stages are stark. For example, quantitative analyses of mung bean development reveal that while microgreens possess slightly lower protein and fat contents on a fresh-weight basis compared to sprouts, they contain nearly double the dietary fiber and significantly elevated levels of essential minerals, including calcium, magnesium, iron, and zinc</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Furthermore, mung bean microgreens exhibit substantially higher concentrations of ascorbic acid, demonstrating superior vitamin C accumulation driven by photosynthetic activity</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Parameter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Sprouts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Microgreens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Harvest Stage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Radicle emergence; full seed consumed.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Cotyledon expansion; stem and leaves consumed.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Cultivation Environment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Dark, highly humid, no substrate required.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Light-dependent, requires physical substrate or matrix.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Primary Nutritional Driver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Hydrolytic enzyme activation; breakdown of antinutrients.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Photosynthesis; synthesis of secondary metabolites.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Biochemical Superiority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Higher protein digestibility, simple sugars, amino acids.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Higher dietary fiber, complex polyphenols, chlorophyll, carotenoids.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Food Safety Risks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Extremely high susceptibility to enteric pathogens.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Lower susceptibility, mitigated further by hydroponic CEA.</w:t>
            </w:r>
          </w:p>
        </w:tc>
      </w:tr>
    </w:tbl>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Agronomic Substrates and Cultivation Mediums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physical, chemical, and biological characteristics of the growth medium profoundly influence the germination rate, root architecture, moisture retention, and ultimate phytochemical yield of microgreens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Because microgreens have an exceptionally short production cycle, the substrate must provide immediate, optimal conditions for rapid root penetration and moisture uptake without the need for complex soil microbiome development or long-term structural integrity.</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Solid-State and Soil-Based Substrates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Solid-state substrates, particularly engineered soilless organic media, are widely utilized for their superior water retention, aeration, and physical support. The selection of organic matter can passively manipulate the nutritional profile of the harvested crop.</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Cocopeat, derived from the mesocarp of coconuts, is widely regarded in agronomic literature as an optimal solid-state substrate for microgreens. It possesses a high cation exchange capacity, a slightly acidic to neutral pH ranging from 5.5 to 7.0, a high porosity of 90 to 95 percent, and a low bulk density</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These specific physicochemical properties ensure excellent drainage while maintaining sufficient moisture for continuous seed imbibition. Furthermore, cocopeat contains naturally occurring antifungal properties, which are critical in managing the dense, humid canopies characteristic of microgreen cultivation, effectively suppressing soil-borne pathogens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Comparative studies indicate that microgreens cultivated in cocopeat consistently exhibit increased fresh and dry weights compared to those grown in traditional field soil mixtures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Peat and vermiculite blends are also standard in the industry. Peat provides excellent moisture retention, while vermiculite—a hydrous phyllosilicate mineral—greatly enhances substrate aeration. Blends of these materials allow delicate root systems to respire effectively, preventing the hypoxic conditions that typically lead to damping-off diseases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The physical structure of the medium can act as a subtle abiotic stressor. When green and red basil microgreens were cultivated on diverse media, including vermiculite and jute fibers, researchers recorded highly augmented concentrations of antioxidant compounds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This suggests that the specific moisture dynamics or physical resistance offered by certain substrates can upregulate secondary metabolism as the plant adapts to its microenvironment.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circumvent the environmental and financial costs of peat extraction, alternative organic matrices such as sugarcane filter cake, white sphagnum peat, and vermicompost have been successfully integrated as growing media</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These materials supply trace organic nutrients that can influence the elemental composition of the microgreens. However, cultivators must strictly monitor these localized biomaterials for excessive microbial loads and undesirable nitrate accumulation, which can compromise both the safety and the physiological quality of the microgreens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Hydroponic and Liquid-Culture Systems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Hydroponic production is rapidly becoming the commercial and clinical standard for microgreens due to its scalability, resource efficiency, and the capacity for precise control over nutrient solutions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In these systems, seeds are sown on inert synthetic mats, burlap, or cellulose matrices, and the developing roots are bathed in either a continuously circulating or static nutrient solution</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advantage of hydroponic cultivation is rigorous phytosanitary control. Soil and solid-state organic media are common vectors for foodborne pathogens. Outbreaks of </w:t>
      </w:r>
      <w:r w:rsidDel="00000000" w:rsidR="00000000" w:rsidRPr="00000000">
        <w:rPr>
          <w:rFonts w:ascii="Arial" w:cs="Arial" w:eastAsia="Arial" w:hAnsi="Arial"/>
          <w:i w:val="1"/>
          <w:iCs w:val="1"/>
          <w:color w:val="1f1f1f"/>
          <w:rtl w:val="0"/>
        </w:rPr>
        <w:t xml:space="preserve">Salmonella enterica</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Escherichia coli</w:t>
      </w:r>
      <w:r w:rsidDel="00000000" w:rsidR="00000000" w:rsidRPr="00000000">
        <w:rPr>
          <w:rFonts w:ascii="Arial" w:cs="Arial" w:eastAsia="Arial" w:hAnsi="Arial"/>
          <w:color w:val="1f1f1f"/>
          <w:rtl w:val="0"/>
        </w:rPr>
        <w:t xml:space="preserve"> (such as the severe </w:t>
      </w:r>
      <w:r w:rsidDel="00000000" w:rsidR="00000000" w:rsidRPr="00000000">
        <w:rPr>
          <w:rFonts w:ascii="Arial" w:cs="Arial" w:eastAsia="Arial" w:hAnsi="Arial"/>
          <w:i w:val="1"/>
          <w:iCs w:val="1"/>
          <w:color w:val="1f1f1f"/>
          <w:rtl w:val="0"/>
        </w:rPr>
        <w:t xml:space="preserve">E. coli</w:t>
      </w:r>
      <w:r w:rsidDel="00000000" w:rsidR="00000000" w:rsidRPr="00000000">
        <w:rPr>
          <w:rFonts w:ascii="Arial" w:cs="Arial" w:eastAsia="Arial" w:hAnsi="Arial"/>
          <w:color w:val="1f1f1f"/>
          <w:rtl w:val="0"/>
        </w:rPr>
        <w:t xml:space="preserve"> O104:H4 outbreak) have been historically linked to raw sprouts and microgreens grown in contaminated soil or water</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Because the dense, warm, and humid microclimates required for sprouting are ideal for bacterial proliferation, the initial pathogen load on seeds and in the substrate can severely compromise safety, limiting the effectiveness of post-harvest sanitization</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Hydroponic systems, utilizing sterile inert mats and sanitized, heavily monitored water systems, drastically reduce these biological risks, providing a safer functional food product</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hydroponics allows for highly targeted nutrient elicitation. By manipulating the electrical conductivity, pH, and specific ion concentrations of the liquid medium, agronomists can trigger specific biochemical pathways. For instance, controlled sulfur supplementation in hydroponic reservoirs directly correlates with increased biosynthesis of sulfur-containing glucosinolates in Brassicaceae microgreens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Mild nitrogen starvation, easily achieved in liquid culture, can prompt the plant to divert energy from primary growth toward the synthesis of carbon-rich secondary metabolites like polyphenols and flavonoids.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Biological Elicitation via Beneficial Microbes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parallel to substrate selection, emerging research focuses on the inoculation of growth media with beneficial microbes, specifically plant growth-promoting rhizobacteria (PGPR) and endophytes. Strains dominated by the genera </w:t>
      </w:r>
      <w:r w:rsidDel="00000000" w:rsidR="00000000" w:rsidRPr="00000000">
        <w:rPr>
          <w:rFonts w:ascii="Arial" w:cs="Arial" w:eastAsia="Arial" w:hAnsi="Arial"/>
          <w:i w:val="1"/>
          <w:iCs w:val="1"/>
          <w:color w:val="1f1f1f"/>
          <w:rtl w:val="0"/>
        </w:rPr>
        <w:t xml:space="preserve">Bacillus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Exiguobacterium</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Pseudomonas</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Enterobacter</w:t>
      </w:r>
      <w:r w:rsidDel="00000000" w:rsidR="00000000" w:rsidRPr="00000000">
        <w:rPr>
          <w:rFonts w:ascii="Arial" w:cs="Arial" w:eastAsia="Arial" w:hAnsi="Arial"/>
          <w:color w:val="1f1f1f"/>
          <w:rtl w:val="0"/>
        </w:rPr>
        <w:t xml:space="preserve"> have been shown to significantly boost microgreen production</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These microbes colonize the root zone or internal plant tissues, establishing a symbiotic relationship that enhances soil nutrient availability through nitrogen fixation and the solubilization of insoluble minerals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Beyond mere nutrient acquisition, these microbes actively produce plant growth stimulants, such as specific polysaccharides and peptides, and activate the plant's innate immune system via phytohormone regulation and the generation of reactive oxygen species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This microbial elicitation not only increases the physical yield of the sprouts and microgreens but also fortifies their defense mechanisms against pathogenic fungi and bacteria, ultimately elevating the phytochemical density of the final product.</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Cultivation 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Key Physicochemical Traits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Primary Agronomic Advantages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Potential Limitations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Cocopeat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Porosity (90-95%), pH (5.5-7.0), high CEC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Natural antifungal properties; maximizes fresh/dry biomass.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Requires sourcing and eventual disposal; physical footprint.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Vermiculite/Peat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aeration, moisture retention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Promotes rapid root penetration; elicits antioxidants via stress.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Peat is environmentally unsustainable; susceptible to compaction.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Inert Mats (Hydroponic)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Sterile, controllable EC/pH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Mitigates </w:t>
            </w:r>
            <w:r w:rsidDel="00000000" w:rsidR="00000000" w:rsidRPr="00000000">
              <w:rPr>
                <w:rFonts w:ascii="Arial" w:cs="Arial" w:eastAsia="Arial" w:hAnsi="Arial"/>
                <w:i w:val="1"/>
                <w:iCs w:val="1"/>
                <w:color w:val="1f1f1f"/>
                <w:rtl w:val="0"/>
              </w:rPr>
              <w:t xml:space="preserve">E. coli</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i w:val="1"/>
                <w:iCs w:val="1"/>
                <w:color w:val="1f1f1f"/>
                <w:rtl w:val="0"/>
              </w:rPr>
              <w:t xml:space="preserve">Salmonella</w:t>
            </w:r>
            <w:r w:rsidDel="00000000" w:rsidR="00000000" w:rsidRPr="00000000">
              <w:rPr>
                <w:rFonts w:ascii="Arial" w:cs="Arial" w:eastAsia="Arial" w:hAnsi="Arial"/>
                <w:color w:val="1f1f1f"/>
                <w:rtl w:val="0"/>
              </w:rPr>
              <w:t xml:space="preserve"> vectors; enables targeted nutrient elicitation.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initial capital cost; requires continuous sensor monitoring.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Microbially Inoculated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Symbiotic PGPR presence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Fixes nitrogen; activates plant immunity; increases secondary metabolites.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Complex to maintain stable microbial dynamics; regulatory safety concerns.</w:t>
            </w:r>
          </w:p>
        </w:tc>
      </w:tr>
    </w:tbl>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Light as a Master Regulator: Spectrum, Intensity, and Photoperiod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Within Controlled Environment Agriculture, light represents the most critical environmental variable. It is not merely the energetic substrate required for photosynthesis; it is the primary environmental signal dictating photomorphogenesis, architecture, and secondary metabolism</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The advent of programmable Light Emitting Diodes (LEDs) allows cultivators to customize the spectral distribution, the photosynthetic photon flux density (PPFD), and the daily light integral (DLI) to precisely optimize the delicate balance between maximum biomass yield and therapeutic phytochemical density.</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Spectral Quality: The Red and Blue Dichotomy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Plant photoreceptors mediate distinct physiological and morphological responses based on the wavelength of light they absorb. Phytochromes are primarily sensitive to red and far-red light, whereas cryptochromes and phototropins respond to blue and ultraviolet (UV) radiation</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Red light, peaking between 600 and 700 nanometers, is the primary driver of photosynthetic efficiency and biomass accumulation. Under red light irradiation, phytochromes undergo a reversible transition between a biologically inactive state (Pr) and an active state (Pfr)</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The activation of phytochromes stimulates stem elongation, hypocotyl extension, leaf expansion, and an overall increase in fresh weight</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However, prioritizing yield through monochromatic red light (100% red) consistently results in the lowest antioxidant activity and secondary metabolite concentrations across various taxa. The plant's metabolic energy is allocated almost entirely to primary metabolism and physical cellular expansion, effectively diluting the nutritional concentration</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Blue light, ranging from 400 to 500 nanometers, acts as an abiotic stressor and a potent regulatory signal. High proportions of blue light typically inhibit hypocotyl elongation, resulting in shorter, highly compact microgreens with thicker, more robust leaves</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More importantly from a clinical perspective, blue light upregulates the phenylpropanoid pathway—the complex metabolic cascade responsible for synthesizing phenolic compounds, flavonoids, and anthocyanins. Studies demonstrate that radish and broccoli microgreens cultivated under 100% blue LED radiation display an average 16.3% increase in total antioxidant activity compared to alternative spectra</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Similarly, blue light maximizes the total phenolic content in pea microgreens, driving the production of compounds highly valued for their free-radical scavenging capabilities</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monolithic spectra fail to simultaneously satisfy the requirements for yield and nutrition, adjusting the red-to-blue (R:B) ratio is essential for commercial and clinical viability. Red-dominant spectra (such as R:B ratios of 5.0 to 9.0) generally maximize fresh weight and dry matter percentage but proportionally dilute phytochemical concentration</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Conversely, lowering the R:B ratio to incorporate significant blue light enhances the nutritional profile while maintaining acceptable yields. For example, a 75:25 (Red:Blue) ratio produced the highest nitrogen content in broccoli microgreens</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Ratios heavily featuring blue light, such as a 25:75 (Red:Blue) treatment, increased bioavailable iron concentrations in broccoli microgreens by 15 to 20 percent compared to monochromatic treatments</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An R:B ratio of 5:1 has been specifically cited in literature as the optimal balance for maximizing shoot height, fresh weight, and the simultaneous accumulation of glucosinolates and antioxidants in broccoli</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Supplemental Spectra: Far-Red, Green, and Ultraviolet Radiation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Advanced LED recipes increasingly incorporate wavelengths outside the standard photosynthetically active radiation (PAR) range to further manipulate crop physiology.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addition of Far-Red (FR) light (700–800 nm) induces a phenomenon known as the "shade avoidance" response. The plant interprets a low Red to Far-Red ratio as shading by a dense neighboring canopy. In response, it prioritizes rapid hypocotyl elongation as it attempts to outcompete perceived neighboring foliage for available light</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While excessive stem elongation can render microgreens leggy, fragile, and unmarketable, supplemental FR light combined with a low PPFD (e.g., 20% of total photon flux at 50–75 µmol/m²·s) significantly increases total fresh weight and hypocotyl height. Crucially, this specific synergistic combination of low light intensity and far-red supplementation has been shown to exponentially increase both ascorbic acid and total glucosinolate content in broccoli microgreens, representing a major breakthrough in targeted biofortification</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Ultraviolet (UV) light, specifically UV-C radiation, acts as a severe acute stressor rather than a sustained growth light. Exposing microgreens to brief, targeted intervals of UV-C (e.g., 10 minutes) acts as an intense elicitor, triggering protective metabolic responses. Research indicates that such acute UV-C exposure can double the chlorophyll content and drastically enhance carotenoid synthesis in microgreens grown under standard red and blue LEDs, as the plant rapidly builds biochemical defense mechanisms to protect its photosystems from radiation damage</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Green light (500–600 nm) is often omitted from commercial LED arrays because it is largely reflected by chlorophyll. However, green light penetrates much deeper into the complex plant canopy than either red or blue light. Interestingly, depriving microgreens of green light entirely (under strict red-blue spectral recipes) combined with a high R:B ratio has been shown to significantly alter mineral metabolism. In species such as </w:t>
      </w:r>
      <w:r w:rsidDel="00000000" w:rsidR="00000000" w:rsidRPr="00000000">
        <w:rPr>
          <w:rFonts w:ascii="Arial" w:cs="Arial" w:eastAsia="Arial" w:hAnsi="Arial"/>
          <w:i w:val="1"/>
          <w:iCs w:val="1"/>
          <w:color w:val="1f1f1f"/>
          <w:rtl w:val="0"/>
        </w:rPr>
        <w:t xml:space="preserve">Salvia officinalis</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Cannabis sativa</w:t>
      </w:r>
      <w:r w:rsidDel="00000000" w:rsidR="00000000" w:rsidRPr="00000000">
        <w:rPr>
          <w:rFonts w:ascii="Arial" w:cs="Arial" w:eastAsia="Arial" w:hAnsi="Arial"/>
          <w:color w:val="1f1f1f"/>
          <w:rtl w:val="0"/>
        </w:rPr>
        <w:t xml:space="preserve">, the deprivation of green light resulted in enhanced macro and micro mineral accumulation and overall nitrogen content, highlighting the complex, interacting nature of the full light spectrum</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Photosynthetic Photon Flux Density (PPFD)</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intensity of light, measured as PPFD (µmol/m²·s), dictates the total volume of photonic energy available to the plant's reaction centers. Microgreens are typically grown under low-to-moderate Daily Light Integral (DLI) conditions due to their delicate, immature tissue structure. The optimization of PPFD reveals highly species-specific responses.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broccoli microgreens, optimal growth and phytochemical accumulation occur at surprisingly low intensities. Studies demonstrate that a PPFD of 50 to 70 µmol/m²·s strikes the perfect balance, maximizing both fresh weight biomass and phytochemical concentration</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Intensities above 100 µmol/m²·s in broccoli can lead to moderate growth retardation and the localized accumulation of reactive oxygen species (ROS) that physically damages cellular tissue rather than merely eliciting beneficial defense compounds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stark contrast, red pak choi requires substantially higher intensities to maximize its bioactive output. The total carotenoid content in red pak choi peaks dramatically at intensities between 330 and 440 µmol/m²·s, with markedly lower levels observed at both lower (110 µmol/m²·s) and higher (545 µmol/m²·s) intensities</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This divergence underscores a crucial physiological insight: spectral intensity optimization cannot be generalized across taxa; it must be mapped to the specific genetic predispositions of the crop.</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Photoperiods and Continuous Light (CL) Stress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duration of lighting (photoperiod) interacts directly with PPFD to create the Daily Light Integral (DLI). Extending the photoperiod to 24 hours—a strategy known as Continuous Light (CL)—has been rigorously investigated for its effect on microgreen physiology.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Cultivating arugula, broccoli, mizuna, and radish under continuous light (delivering DLIs of 15.6 and 23.3 mol/m²·day) resulted in significantly higher fresh and dry weights, enhanced robust indices, and increased leaf mass per area compared to a standard 16-hour photoperiod, regardless of the underlying light quality</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Notably, plants subjected to CL experience a state of mild, sustained oxidative stress. To maintain redox homeostasis and prevent cellular degradation, the microgreens automatically upregulate the production of non-enzymatic antioxidants and significantly increase the activities of antioxidant enzymes</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Because the harvest window is so short, this state is achieved without exhibiting visible leaf photodamage or senescence</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This biochemical adaptation adds immense functional and nutritional value, proving that targeted photoperiod extension is a highly viable, non-chemical strategy for hyper-accumulating health-promoting compounds in CEA.</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Light Treatment Strategy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Biological Mechanism of 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Impact on Morphological Yield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Impact on Phytochemical Profile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Monochromatic 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Phytochrome activation (Pr to Pfr transition).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Maximizes fresh weight, induces rapid leaf expansion.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Lowest overall antioxidant and secondary metabolite accumulation.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Monochromatic Blue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Cryptochrome and phototropin activation.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Promotes compact growth, thicker leaves; reduces overall biomass.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Maximizes phenolic compounds, anthocyanins, and total antioxidant capacity.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High R:B Ratio (e.g., 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Balanced photomorphogenesis.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Optimizes robust index; maintains high nitrogen assimilation.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Balances trace mineral uptake (Iron) with moderate antioxidant yield.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Low PPFD + Far-Red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Induces shade avoidance without phototoxicity.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Synergistically increases hypocotyl length and fresh weight.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Drastically increases glucosinolates and ascorbic acid in sensitive species (Broccoli).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Continuous Light (24h)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Uninterrupted carbon dioxide assimilation.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Produces highest dry mass and robust index.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Induces mild oxidative stress, thereby elevating total antioxidant enzyme capacity.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UV-C Elicitation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Acute radiation stress response.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Negligible impact on mass if applied acutely.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Doubles chlorophyll content; exponentially increases carotenoid synthesis.</w:t>
            </w:r>
          </w:p>
        </w:tc>
      </w:tr>
    </w:tbl>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Deep Phytochemical Profiling Across Taxa</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specific nutritional matrix of a microgreen is heavily dictated by its botanical family. Diverse taxa produce wildly different concentrations of ascorbic acid, polyphenols, macroelements, and distinct secondary metabolites.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w:t>
      </w:r>
      <w:r w:rsidDel="00000000" w:rsidR="00000000" w:rsidRPr="00000000">
        <w:rPr>
          <w:rFonts w:ascii="Arial" w:cs="Arial" w:eastAsia="Arial" w:hAnsi="Arial"/>
          <w:i w:val="1"/>
          <w:iCs w:val="1"/>
          <w:color w:val="1f1f1f"/>
          <w:rtl w:val="0"/>
        </w:rPr>
        <w:t xml:space="preserve">Brassicaceae</w:t>
      </w:r>
      <w:r w:rsidDel="00000000" w:rsidR="00000000" w:rsidRPr="00000000">
        <w:rPr>
          <w:rFonts w:ascii="Arial" w:cs="Arial" w:eastAsia="Arial" w:hAnsi="Arial"/>
          <w:color w:val="1f1f1f"/>
          <w:rtl w:val="0"/>
        </w:rPr>
        <w:t xml:space="preserve"> family, which includes broccoli, red cabbage, pak choi, and radish, is globally recognized for its profound antioxidant properties and its unique synthesis of glucosinolates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Morphologically, </w:t>
      </w:r>
      <w:r w:rsidDel="00000000" w:rsidR="00000000" w:rsidRPr="00000000">
        <w:rPr>
          <w:rFonts w:ascii="Arial" w:cs="Arial" w:eastAsia="Arial" w:hAnsi="Arial"/>
          <w:i w:val="1"/>
          <w:iCs w:val="1"/>
          <w:color w:val="1f1f1f"/>
          <w:rtl w:val="0"/>
        </w:rPr>
        <w:t xml:space="preserve">Brassicaceae</w:t>
      </w:r>
      <w:r w:rsidDel="00000000" w:rsidR="00000000" w:rsidRPr="00000000">
        <w:rPr>
          <w:rFonts w:ascii="Arial" w:cs="Arial" w:eastAsia="Arial" w:hAnsi="Arial"/>
          <w:color w:val="1f1f1f"/>
          <w:rtl w:val="0"/>
        </w:rPr>
        <w:t xml:space="preserve"> microgreens, particularly radish sango, demonstrate superior shoot height and width when grown in optimized soilless media</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Biochemically, they are exceptionally rich in ascorbic acid, with values ranging from 177.58 to 256.46 mg/100 g fresh weight, and total glucosinolate contents ranging from 4.09 to 47.38 µmol/g fresh weight</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Furthermore, radish sango microgreens exhibit staggering free radical scavenging activities, commonly demonstrating DPPH (2,2-diphenyl-1-picrylhydrazyl) inhibition levels up to 76.82% and ABTS inhibition up to 88.49%</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w:t>
      </w:r>
      <w:r w:rsidDel="00000000" w:rsidR="00000000" w:rsidRPr="00000000">
        <w:rPr>
          <w:rFonts w:ascii="Arial" w:cs="Arial" w:eastAsia="Arial" w:hAnsi="Arial"/>
          <w:i w:val="1"/>
          <w:iCs w:val="1"/>
          <w:color w:val="1f1f1f"/>
          <w:rtl w:val="0"/>
        </w:rPr>
        <w:t xml:space="preserve">Fabaceae</w:t>
      </w:r>
      <w:r w:rsidDel="00000000" w:rsidR="00000000" w:rsidRPr="00000000">
        <w:rPr>
          <w:rFonts w:ascii="Arial" w:cs="Arial" w:eastAsia="Arial" w:hAnsi="Arial"/>
          <w:color w:val="1f1f1f"/>
          <w:rtl w:val="0"/>
        </w:rPr>
        <w:t xml:space="preserve"> family, comprising grain legumes such as lentils, peas, mung beans, and common beans, offers a completely distinct nutritional profile characterized by high protein, complex carbohydrates, and distinct mineral concentrations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Lentil microgreens, for example, contain some of the highest total protein contents observed in microgreens (6.47 g/100 g), consisting of albumins, globulins, and glutelins, alongside massive concentrations of total chlorophyll (112.62 mg/100 g) and carotenoids (28.37 mg/100 g)</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Bean microgreens distinguish themselves with exceptionally high ascorbic acid levels, frequently topping 80.45 mg/100 g fresh weight, followed closely by pea microgreens at 70.76 mg/100 g</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Other notable taxa include sunflower microgreens, which stand out for their exceptional levels of calcium and fumaric acid, and buckwheat microgreens, which boast the highest total phenolic content (268.99 mg GAE/100 g) and DPPH scavenging activity among non-Brassica species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Microgreen Species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Primary Bioactive Strengths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Key Micronutrient Data (per 100g FW)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Associated Botanical Family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Broccoli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Glucosinolates, Iron, Manganese, Total Phenolics (825.53 mg GA)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Ascorbic acid: 49.02 mg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Brassicaceae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Red Cabbage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Anthocyanins (0.246 mg CGE), Lipids modulation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Ascorbic acid: 89.49 mg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Brassicaceae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Radish Sango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Superior DPPH/ABTS scavenging, Glucosinolates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Total Phenolics: up to 298.56 mg GAE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Brassicaceae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Lentil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Protein (6.47 g), Chlorophyll (112.62 mg), Carotenoids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Ascorbic acid: 128.70 mg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Fabaceae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Total Flavonoids (758.0 mg RU)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Ascorbic acid: 80.45 mg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Fabaceae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Sunflower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Calcium, Fumaric acid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Ascorbic acid: 67.55 mg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Asteraceae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Buckwheat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Rutin, Total Phenolics (268.99 mg GAE)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Potassium and Iron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Polygonaceae</w:t>
            </w:r>
          </w:p>
        </w:tc>
      </w:tr>
    </w:tbl>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Biosynthesis and Mechanisms of Bioactive Compounds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fully understand the clinical utility of microgreens, it is necessary to examine the biosynthetic pathways that generate their most valuable compounds, particularly within the </w:t>
      </w:r>
      <w:r w:rsidDel="00000000" w:rsidR="00000000" w:rsidRPr="00000000">
        <w:rPr>
          <w:rFonts w:ascii="Arial" w:cs="Arial" w:eastAsia="Arial" w:hAnsi="Arial"/>
          <w:i w:val="1"/>
          <w:iCs w:val="1"/>
          <w:color w:val="1f1f1f"/>
          <w:rtl w:val="0"/>
        </w:rPr>
        <w:t xml:space="preserve">Brassicaceae</w:t>
      </w:r>
      <w:r w:rsidDel="00000000" w:rsidR="00000000" w:rsidRPr="00000000">
        <w:rPr>
          <w:rFonts w:ascii="Arial" w:cs="Arial" w:eastAsia="Arial" w:hAnsi="Arial"/>
          <w:color w:val="1f1f1f"/>
          <w:rtl w:val="0"/>
        </w:rPr>
        <w:t xml:space="preserve"> family.</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Glucosinolates and Sulforaphane Biosynthesis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Broccoli sprouts and microgreens are exceptionally rich sources of glucoraphanin, the biogenic, biologically inactive precursor to the highly potent isothiocyanate sulforaphane (SFN)</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Three-day-old broccoli sprouts contain 10 to 100 times higher levels of glucoraphanin than mature broccoli florets</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biosynthesis of glucoraphanin in plants is a highly elaborate process originating from the amino acid methionine</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This pathway proceeds in three distinct stages. First, a cytoplasmic branched-chain amino acid aminotransferase (BCAT) catalyzes the transamination of methionine. This intermediate is then elongated by two methylene groups via a cyclical mechanism within the chloroplast, heavily reliant on methylthioalkyl malate synthase (MAM)</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The second stage involves the formation of the core glucosinolate structure, and the final stage encompasses the secondary modification of the side chain</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Crucially, in the undamaged plant, there is virtually no free sulforaphane. SFN is generated only upon cellular disruption (such as mastication or tissue damage), which allows the glucosinolate precursor to come into contact with myrosinase, an endogenous thioglucoside glucohydrolase enzyme</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Myrosinase hydrolyzes glucoraphanin, forming the active SFN. Clinical bioavailability heavily depends on the presence of active myrosinase. Studies demonstrate that the peak plasma concentration of SFN in subjects who consume fresh, myrosinase-active broccoli sprouts is 7-fold higher than in subjects taking processed broccoli supplements lacking the enzyme</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Because microgreens and sprouts are consumed fresh and raw, they retain maximum myrosinase activity, ensuring optimal in vivo conversion to SFN</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Clinical Efficacy and Human Health Outcomes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rigorous agronomic optimization of substrates and LED light spectra is driven entirely by the demand for functional foods capable of addressing specific human metabolic, cardiovascular, and neurological conditions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By utilizing CEA to upregulate specific phytochemicals, growers produce biofortified crops with direct, proven clinical efficacy.</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NRF2 Pathway and Systemic Detoxification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clinical significance of Sulforaphane lies in its unparalleled ability to activate the mammalian Nuclear Factor Erythroid 2-related Factor 2 (NRF2) pathway</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In homeostatic mammalian cells, NRF2 is sequestered in the cytoplasm by the Keap1 protein. SFN acts as a highly specific electrophile, interacting with sulfhydryl groups on Keap1, which causes the release of NRF2</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Free NRF2 translocates to the nucleus and binds to the Antioxidant Response Element (ARE). This single binding event initiates the downstream transcription of a massive array of Phase II detoxification enzymes (such as NQO1, HMOX1) and endogenous antioxidants (such as glutathione)</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Through this mechanism, SFN acts as an indirect antioxidant. Rather than neutralizing a single free radical per molecule (like Vitamin C), a single molecule of SFN triggers the cellular machinery to produce thousands of antioxidant enzymes, creating a prolonged, robust cytoprotective state</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Metabolic Syndrome and Type 2 Diabetes Management</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SFN profoundly regulates glucose metabolism. Under hyperglycemic stress, SFN alters NADPH-producing pathways, redirecting glucose away from standard glycolysis and toward the pentose phosphate pathway and 1-carbon metabolism. This metabolic rewiring directly supports the increased demand for glutathione biosynthesis, protecting cells from glucose-induced oxidative damage</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These in vitro findings translate robustly to clinical applications. In a randomized double-blind clinical trial involving patients with Type 2 Diabetes, the daily consumption of 10 grams of broccoli sprout powder (containing high SFN concentrations) for four weeks resulted in a significant decrease in fasting serum insulin and the HOMA-IR (homeostasis model assessment of insulin resistance) index</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 SFN supplementation suppresses hepatic glucose production, enhances insulin sensitivity, inhibits gluconeogenesis, and enhances fatty acid oxidation through the activation of sirtuins and PGC-1α</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 Furthermore, intervention trials indicate that SFN reduces lipid peroxidation in diabetic patients, significantly decreasing plasma malondialdehyde (MDA) and oxidized LDL, mitigating the vascular complications of diabetes</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Neurological and Autism Spectrum Disorders (ASD)</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NRF2 activation effectively mitigates neuroinflammation and oxidative stress, SFN has been aggressively deployed in clinical trials for neurological conditions, most notably Autism Spectrum Disorder (ASD).</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a landmark double-blind, placebo-controlled study, 44 young men with ASD (ages 13–27) received either weight-adjusted daily doses of SFN-rich broccoli sprout extracts or a placebo for 18 weeks. The individuals randomized to the SFN treatment exhibited statistically significant improvements in social responsiveness and a significant decrease in aberrant behaviors, specifically irritability, lethargy, stereotypy, and hyperactivity</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Improvements were rigorously quantified using the Aberrant Behavior Checklist (ABC) and the Social Responsiveness Scale (SRS)</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Crucially, the therapeutic effects were transient; upon cessation of the broccoli sprout extract at the end of the 18-week trial, the participants' scores largely reverted to baseline levels, proving the direct, ongoing biochemical influence of the SFN intervention</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Respiratory Health and Cellular Pathologies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application of SFN for respiratory and cellular diseases has shown mixed but mechanistically vital results. Evidence indicates that patients with Chronic Obstructive Pulmonary Disease (COPD) suffer from a defect in NRF2 activity, leading to impaired antioxidant defenses in alveolar macrophages</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 The BEST (Broccoli Sprout Extracts Trial) investigated whether oral ingestion of SFN could restore NRF2 activity in COPD patients. While in vitro activation restored steroid sensitivity and improved bacterial clearance, some in vivo human trials failed to mitigate neutrophilic airway inflammation or improve redox markers in nasal epithelial cells</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Similarly, a double-blind randomized trial investigating the ingestion of whole broccoli sprouts (100g daily) in adults with atopic asthma found no significant reduction in fractional exhaled nitric oxide (FENO) or improvement in lung function, despite a marked increase in serum SFN concentrations</w:t>
      </w:r>
      <w:r w:rsidDel="00000000" w:rsidR="00000000" w:rsidRPr="00000000">
        <w:rPr>
          <w:rFonts w:ascii="Arial" w:cs="Arial" w:eastAsia="Arial" w:hAnsi="Arial"/>
          <w:color w:val="444746"/>
          <w:sz w:val="24"/>
          <w:szCs w:val="24"/>
          <w:vertAlign w:val="superscript"/>
          <w:rtl w:val="0"/>
        </w:rPr>
        <w:t xml:space="preserve">50</w:t>
      </w:r>
      <w:r w:rsidDel="00000000" w:rsidR="00000000" w:rsidRPr="00000000">
        <w:rPr>
          <w:rFonts w:ascii="Arial" w:cs="Arial" w:eastAsia="Arial" w:hAnsi="Arial"/>
          <w:color w:val="1f1f1f"/>
          <w:rtl w:val="0"/>
        </w:rPr>
        <w:t xml:space="preserve">. Conversely, in trials involving Sickle Cell Disease (SCD), SFN contained in broccoli sprout homogenate successfully activated NRF2 in erythroid progenitors, significantly increasing the expression of the target gene HMOX1 and showing a trend toward increasing HBG1 (fetal hemoglobin subunit)</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These conflicting clinical outcomes generate a critical second-order insight: while SFN is universally bioavailable and potently activates NRF2, its ultimate therapeutic efficacy is highly disease-specific, heavily dependent on the localized pathophysiology of the target tissue.</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Lipid Metabolism and Cardiovascular Disease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Microgreens from the </w:t>
      </w:r>
      <w:r w:rsidDel="00000000" w:rsidR="00000000" w:rsidRPr="00000000">
        <w:rPr>
          <w:rFonts w:ascii="Arial" w:cs="Arial" w:eastAsia="Arial" w:hAnsi="Arial"/>
          <w:i w:val="1"/>
          <w:iCs w:val="1"/>
          <w:color w:val="1f1f1f"/>
          <w:rtl w:val="0"/>
        </w:rPr>
        <w:t xml:space="preserve">Brassicaceae</w:t>
      </w:r>
      <w:r w:rsidDel="00000000" w:rsidR="00000000" w:rsidRPr="00000000">
        <w:rPr>
          <w:rFonts w:ascii="Arial" w:cs="Arial" w:eastAsia="Arial" w:hAnsi="Arial"/>
          <w:color w:val="1f1f1f"/>
          <w:rtl w:val="0"/>
        </w:rPr>
        <w:t xml:space="preserve"> family, notably red cabbage, accumulate staggering amounts of anthocyanins, ascorbic acid, and polyphenols—compounds heavily influenced by the aforementioned blue light and UV-C elicitation protocols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The clinical backing for these compounds centers on cardiovascular disease (CVD) mitigation via lipid modulation.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a rigorous in vivo study conducted by the USDA, animal models subjected to a high-fat, diet-induced obesity (DIO) regimen were supplemented with red cabbage microgreens. Over an eight-week period, the microgreen supplementation not only attenuated diet-induced weight gain but fundamentally altered lipid metabolism</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Subjects exhibited a massive 34% reduction in circulating Low-Density Lipoprotein (LDL) levels and a corresponding 23% reduction in hepatic cholesterol esters and triacylglycerols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Furthermore, the microgreens downregulated the expression of inflammatory cytokines in the liver</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Crucially, parallel control groups fed mature red cabbage did not exhibit the same magnitude of lipid reduction. The efficacy of the microgreens vastly outpaced that of mature cabbage precisely due to their hypersaturated polyphenol and glucosinolate content, which act directly to inhibit lipid peroxidation and neutralize reactive oxygen species in the vascular endothelium</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Vascular Support via Rutin in Buckwheat Sprouts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Buckwheat sprouts are distinctly recognized within the </w:t>
      </w:r>
      <w:r w:rsidDel="00000000" w:rsidR="00000000" w:rsidRPr="00000000">
        <w:rPr>
          <w:rFonts w:ascii="Arial" w:cs="Arial" w:eastAsia="Arial" w:hAnsi="Arial"/>
          <w:i w:val="1"/>
          <w:iCs w:val="1"/>
          <w:color w:val="1f1f1f"/>
          <w:rtl w:val="0"/>
        </w:rPr>
        <w:t xml:space="preserve">Polygonaceae</w:t>
      </w:r>
      <w:r w:rsidDel="00000000" w:rsidR="00000000" w:rsidRPr="00000000">
        <w:rPr>
          <w:rFonts w:ascii="Arial" w:cs="Arial" w:eastAsia="Arial" w:hAnsi="Arial"/>
          <w:color w:val="1f1f1f"/>
          <w:rtl w:val="0"/>
        </w:rPr>
        <w:t xml:space="preserve"> family for their exceptional concentrations of specific flavonoid glycosides, primarily rutin, orientin, and vitexin</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 Rutin, in particular, is a potent vasoprotective agent. Clinical and physiological studies validate that the rutin naturally concentrated in buckwheat sprouts performs a vital regulatory role in reducing high blood pressure and enhancing vascular elasticity</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 By scavenging free radicals and directly inhibiting lipid peroxidation in the bloodstream, the flavonoids in buckwheat sprouts mitigate endothelial dysfunction, thereby addressing the foundational pathology of hypertension and cardiovascular disease</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Synthesis: The Biomanufacturing of Health</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 exhaustive analysis of the converging data from agronomic protocols, photobiology, and clinical trials reveals a profound underlying reality: Controlled Environment Agriculture has effectively decoupled crop yield from nutritional quality.</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traditional macro-agriculture, there is a well-documented "dilution effect," where aggressive breeding and fertilization regimens designed for maximum biomass result in a corresponding drop in mineral and phytochemical density. However, in the cultivation of microgreens and sprouts, the deliberate application of abiotic stress—via low Red-to-Blue light ratios, supplemental Far-Red and UV radiation, continuous photoperiods, and slightly restrictive solid-state substrates like vermiculite—allows growers to actively hack the plant’s innate defense mechanisms.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plant interprets blue light, UV radiation, or continuous 24-hour lighting as environmental hostility. In response, it channels its metabolic energy away from pure vegetative expansion and into producing secondary metabolites (phenolics, anthocyanins, glucosinolates) as a survival mechanism against the resulting oxidative stress. Because the plant is harvested at the cotyledon stage, before these compounds are expended on developing mature cellular structures, the grower captures the plant at its absolute peak of therapeutic potency.</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clinical literature confirms that these specifically elicited compounds are highly biologically active in humans. The exact ROS-scavenging antioxidants the plant produces to survive a 24-hour light cycle or an intense blue LED exposure are the exact same compounds that activate the human NRF2 pathway, lower oxidized LDL cholesterol in metabolic syndrome, and reduce neuroinflammation in Autism Spectrum Disorder. Therefore, optimizing microgreen production is no longer strictly an agricultural pursuit; it is the precision biomanufacturing of targeted nutraceuticals. By integrating specific light recipes with advanced hydroponic and soilless substrates, the modern agricultural paradigm transcends simple calorie production, offering a potent, sustainable, and highly bioavailable medical intervention.</w:t>
      </w:r>
    </w:p>
    <w:p w:rsidR="00000000" w:rsidDel="00000000" w:rsidP="00000000" w:rsidRDefault="00000000" w:rsidRPr="00000000" w14:paraId="000000AF">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Microgreens: nutritional properties, health benefits, production, </w:t>
      </w:r>
      <w:hyperlink r:id="rId6">
        <w:r w:rsidDel="00000000" w:rsidR="00000000" w:rsidRPr="00000000">
          <w:rPr>
            <w:rFonts w:ascii="Arial" w:cs="Arial" w:eastAsia="Arial" w:hAnsi="Arial"/>
            <w:color w:val="0000ee"/>
            <w:sz w:val="24"/>
            <w:szCs w:val="24"/>
            <w:u w:val="single"/>
            <w:rtl w:val="0"/>
          </w:rPr>
          <w:t xml:space="preserve">https://pubmed.ncbi.nlm.nih.gov/41321944/</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Microgreens: Functional Food for Nutrition and Dietary Diversification, </w:t>
      </w:r>
      <w:hyperlink r:id="rId7">
        <w:r w:rsidDel="00000000" w:rsidR="00000000" w:rsidRPr="00000000">
          <w:rPr>
            <w:rFonts w:ascii="Arial" w:cs="Arial" w:eastAsia="Arial" w:hAnsi="Arial"/>
            <w:color w:val="0000ee"/>
            <w:sz w:val="24"/>
            <w:szCs w:val="24"/>
            <w:u w:val="single"/>
            <w:rtl w:val="0"/>
          </w:rPr>
          <w:t xml:space="preserve">https://pmc.ncbi.nlm.nih.gov/articles/PMC11859409/</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Microgreens on the rise: Expanding our horizons from farm to fork, </w:t>
      </w:r>
      <w:hyperlink r:id="rId8">
        <w:r w:rsidDel="00000000" w:rsidR="00000000" w:rsidRPr="00000000">
          <w:rPr>
            <w:rFonts w:ascii="Arial" w:cs="Arial" w:eastAsia="Arial" w:hAnsi="Arial"/>
            <w:color w:val="0000ee"/>
            <w:sz w:val="24"/>
            <w:szCs w:val="24"/>
            <w:u w:val="single"/>
            <w:rtl w:val="0"/>
          </w:rPr>
          <w:t xml:space="preserve">https://pmc.ncbi.nlm.nih.gov/articles/PMC10881865/</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Sources &amp; Research - Honor Harvest Farms, </w:t>
      </w:r>
      <w:hyperlink r:id="rId9">
        <w:r w:rsidDel="00000000" w:rsidR="00000000" w:rsidRPr="00000000">
          <w:rPr>
            <w:rFonts w:ascii="Arial" w:cs="Arial" w:eastAsia="Arial" w:hAnsi="Arial"/>
            <w:color w:val="0000ee"/>
            <w:sz w:val="24"/>
            <w:szCs w:val="24"/>
            <w:u w:val="single"/>
            <w:rtl w:val="0"/>
          </w:rPr>
          <w:t xml:space="preserve">https://honorharvestfarms.net/sources/</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Broccoli sprouts as inducers of carcinogen-detoxifying ... - PNAS, </w:t>
      </w:r>
      <w:hyperlink r:id="rId10">
        <w:r w:rsidDel="00000000" w:rsidR="00000000" w:rsidRPr="00000000">
          <w:rPr>
            <w:rFonts w:ascii="Arial" w:cs="Arial" w:eastAsia="Arial" w:hAnsi="Arial"/>
            <w:color w:val="0000ee"/>
            <w:sz w:val="24"/>
            <w:szCs w:val="24"/>
            <w:u w:val="single"/>
            <w:rtl w:val="0"/>
          </w:rPr>
          <w:t xml:space="preserve">https://www.pnas.org/doi/pdf/10.1073/pnas.94.21.11149</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Improving food security through indoor vertical farming of microgreens, </w:t>
      </w:r>
      <w:hyperlink r:id="rId11">
        <w:r w:rsidDel="00000000" w:rsidR="00000000" w:rsidRPr="00000000">
          <w:rPr>
            <w:rFonts w:ascii="Arial" w:cs="Arial" w:eastAsia="Arial" w:hAnsi="Arial"/>
            <w:color w:val="0000ee"/>
            <w:sz w:val="24"/>
            <w:szCs w:val="24"/>
            <w:u w:val="single"/>
            <w:rtl w:val="0"/>
          </w:rPr>
          <w:t xml:space="preserve">https://www.frontiersin.org/journals/sustainable-food-systems/articles/10.3389/fsufs.2026.1809881/full</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Prospects of microgreens as budding living functional food - PMC, </w:t>
      </w:r>
      <w:hyperlink r:id="rId12">
        <w:r w:rsidDel="00000000" w:rsidR="00000000" w:rsidRPr="00000000">
          <w:rPr>
            <w:rFonts w:ascii="Arial" w:cs="Arial" w:eastAsia="Arial" w:hAnsi="Arial"/>
            <w:color w:val="0000ee"/>
            <w:sz w:val="24"/>
            <w:szCs w:val="24"/>
            <w:u w:val="single"/>
            <w:rtl w:val="0"/>
          </w:rPr>
          <w:t xml:space="preserve">https://pmc.ncbi.nlm.nih.gov/articles/PMC9905132/</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Nutritional Quality Potential of Microgreens, Baby Leaves, and, </w:t>
      </w:r>
      <w:hyperlink r:id="rId13">
        <w:r w:rsidDel="00000000" w:rsidR="00000000" w:rsidRPr="00000000">
          <w:rPr>
            <w:rFonts w:ascii="Arial" w:cs="Arial" w:eastAsia="Arial" w:hAnsi="Arial"/>
            <w:color w:val="0000ee"/>
            <w:sz w:val="24"/>
            <w:szCs w:val="24"/>
            <w:u w:val="single"/>
            <w:rtl w:val="0"/>
          </w:rPr>
          <w:t xml:space="preserve">https://pmc.ncbi.nlm.nih.gov/articles/PMC8834567/</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Microgreens—A Comprehensive Review of Bioactive Molecules and, </w:t>
      </w:r>
      <w:hyperlink r:id="rId14">
        <w:r w:rsidDel="00000000" w:rsidR="00000000" w:rsidRPr="00000000">
          <w:rPr>
            <w:rFonts w:ascii="Arial" w:cs="Arial" w:eastAsia="Arial" w:hAnsi="Arial"/>
            <w:color w:val="0000ee"/>
            <w:sz w:val="24"/>
            <w:szCs w:val="24"/>
            <w:u w:val="single"/>
            <w:rtl w:val="0"/>
          </w:rPr>
          <w:t xml:space="preserve">https://pmc.ncbi.nlm.nih.gov/articles/PMC9864543/</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Microgreens Production: Exploiting Environmental and Cultural, </w:t>
      </w:r>
      <w:hyperlink r:id="rId15">
        <w:r w:rsidDel="00000000" w:rsidR="00000000" w:rsidRPr="00000000">
          <w:rPr>
            <w:rFonts w:ascii="Arial" w:cs="Arial" w:eastAsia="Arial" w:hAnsi="Arial"/>
            <w:color w:val="0000ee"/>
            <w:sz w:val="24"/>
            <w:szCs w:val="24"/>
            <w:u w:val="single"/>
            <w:rtl w:val="0"/>
          </w:rPr>
          <w:t xml:space="preserve">https://pmc.ncbi.nlm.nih.gov/articles/PMC11435253/</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Sprouts and Microgreens—Novel Food Sources for Healthy Diets, </w:t>
      </w:r>
      <w:hyperlink r:id="rId16">
        <w:r w:rsidDel="00000000" w:rsidR="00000000" w:rsidRPr="00000000">
          <w:rPr>
            <w:rFonts w:ascii="Arial" w:cs="Arial" w:eastAsia="Arial" w:hAnsi="Arial"/>
            <w:color w:val="0000ee"/>
            <w:sz w:val="24"/>
            <w:szCs w:val="24"/>
            <w:u w:val="single"/>
            <w:rtl w:val="0"/>
          </w:rPr>
          <w:t xml:space="preserve">https://pmc.ncbi.nlm.nih.gov/articles/PMC8877763/</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Microgreens: nutritional properties, health benefits, production, </w:t>
      </w:r>
      <w:hyperlink r:id="rId17">
        <w:r w:rsidDel="00000000" w:rsidR="00000000" w:rsidRPr="00000000">
          <w:rPr>
            <w:rFonts w:ascii="Arial" w:cs="Arial" w:eastAsia="Arial" w:hAnsi="Arial"/>
            <w:color w:val="0000ee"/>
            <w:sz w:val="24"/>
            <w:szCs w:val="24"/>
            <w:u w:val="single"/>
            <w:rtl w:val="0"/>
          </w:rPr>
          <w:t xml:space="preserve">https://pmc.ncbi.nlm.nih.gov/articles/PMC12662059/</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Bioactive Composition and Nutritional Profile of Microgreens ... - MDPI, </w:t>
      </w:r>
      <w:hyperlink r:id="rId18">
        <w:r w:rsidDel="00000000" w:rsidR="00000000" w:rsidRPr="00000000">
          <w:rPr>
            <w:rFonts w:ascii="Arial" w:cs="Arial" w:eastAsia="Arial" w:hAnsi="Arial"/>
            <w:color w:val="0000ee"/>
            <w:sz w:val="24"/>
            <w:szCs w:val="24"/>
            <w:u w:val="single"/>
            <w:rtl w:val="0"/>
          </w:rPr>
          <w:t xml:space="preserve">https://www.mdpi.com/2076-3417/11/17/7981</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Raw Truth About Raw Foods | Food Safety Magazine, </w:t>
      </w:r>
      <w:hyperlink r:id="rId19">
        <w:r w:rsidDel="00000000" w:rsidR="00000000" w:rsidRPr="00000000">
          <w:rPr>
            <w:rFonts w:ascii="Arial" w:cs="Arial" w:eastAsia="Arial" w:hAnsi="Arial"/>
            <w:color w:val="0000ee"/>
            <w:sz w:val="24"/>
            <w:szCs w:val="24"/>
            <w:u w:val="single"/>
            <w:rtl w:val="0"/>
          </w:rPr>
          <w:t xml:space="preserve">https://www.food-safety.com/articles/10269-the-raw-truth-about-raw-foods</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Sprouts vs. Microgreens as Novel Functional Foods - PMC - NIH, </w:t>
      </w:r>
      <w:hyperlink r:id="rId20">
        <w:r w:rsidDel="00000000" w:rsidR="00000000" w:rsidRPr="00000000">
          <w:rPr>
            <w:rFonts w:ascii="Arial" w:cs="Arial" w:eastAsia="Arial" w:hAnsi="Arial"/>
            <w:color w:val="0000ee"/>
            <w:sz w:val="24"/>
            <w:szCs w:val="24"/>
            <w:u w:val="single"/>
            <w:rtl w:val="0"/>
          </w:rPr>
          <w:t xml:space="preserve">https://pmc.ncbi.nlm.nih.gov/articles/PMC7587365/</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Enhanced nutritional value of mung bean microgreens compared to, </w:t>
      </w:r>
      <w:hyperlink r:id="rId21">
        <w:r w:rsidDel="00000000" w:rsidR="00000000" w:rsidRPr="00000000">
          <w:rPr>
            <w:rFonts w:ascii="Arial" w:cs="Arial" w:eastAsia="Arial" w:hAnsi="Arial"/>
            <w:color w:val="0000ee"/>
            <w:sz w:val="24"/>
            <w:szCs w:val="24"/>
            <w:u w:val="single"/>
            <w:rtl w:val="0"/>
          </w:rPr>
          <w:t xml:space="preserve">https://pmc.ncbi.nlm.nih.gov/articles/PMC12919383/</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Enhanced nutritional value of mung bean microgreens compared to, </w:t>
      </w:r>
      <w:hyperlink r:id="rId22">
        <w:r w:rsidDel="00000000" w:rsidR="00000000" w:rsidRPr="00000000">
          <w:rPr>
            <w:rFonts w:ascii="Arial" w:cs="Arial" w:eastAsia="Arial" w:hAnsi="Arial"/>
            <w:color w:val="0000ee"/>
            <w:sz w:val="24"/>
            <w:szCs w:val="24"/>
            <w:u w:val="single"/>
            <w:rtl w:val="0"/>
          </w:rPr>
          <w:t xml:space="preserve">https://pubmed.ncbi.nlm.nih.gov/41726547/</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Emergence of microgreens as a valuable food, current ... - PMC - NIH, </w:t>
      </w:r>
      <w:hyperlink r:id="rId23">
        <w:r w:rsidDel="00000000" w:rsidR="00000000" w:rsidRPr="00000000">
          <w:rPr>
            <w:rFonts w:ascii="Arial" w:cs="Arial" w:eastAsia="Arial" w:hAnsi="Arial"/>
            <w:color w:val="0000ee"/>
            <w:sz w:val="24"/>
            <w:szCs w:val="24"/>
            <w:u w:val="single"/>
            <w:rtl w:val="0"/>
          </w:rPr>
          <w:t xml:space="preserve">https://pmc.ncbi.nlm.nih.gov/articles/PMC11225695/</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Assessment of bioactive compounds, antioxidant properties and, </w:t>
      </w:r>
      <w:hyperlink r:id="rId24">
        <w:r w:rsidDel="00000000" w:rsidR="00000000" w:rsidRPr="00000000">
          <w:rPr>
            <w:rFonts w:ascii="Arial" w:cs="Arial" w:eastAsia="Arial" w:hAnsi="Arial"/>
            <w:color w:val="0000ee"/>
            <w:sz w:val="24"/>
            <w:szCs w:val="24"/>
            <w:u w:val="single"/>
            <w:rtl w:val="0"/>
          </w:rPr>
          <w:t xml:space="preserve">https://pmc.ncbi.nlm.nih.gov/articles/PMC11464729/</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Trial Protocol for Evaluating Platforms for Growing Microgreens in, </w:t>
      </w:r>
      <w:hyperlink r:id="rId25">
        <w:r w:rsidDel="00000000" w:rsidR="00000000" w:rsidRPr="00000000">
          <w:rPr>
            <w:rFonts w:ascii="Arial" w:cs="Arial" w:eastAsia="Arial" w:hAnsi="Arial"/>
            <w:color w:val="0000ee"/>
            <w:sz w:val="24"/>
            <w:szCs w:val="24"/>
            <w:u w:val="single"/>
            <w:rtl w:val="0"/>
          </w:rPr>
          <w:t xml:space="preserve">https://pmc.ncbi.nlm.nih.gov/articles/PMC9103178/</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 Outbreak Investigation of Salmonella Typhimurium Illnesses in, </w:t>
      </w:r>
      <w:hyperlink r:id="rId26">
        <w:r w:rsidDel="00000000" w:rsidR="00000000" w:rsidRPr="00000000">
          <w:rPr>
            <w:rFonts w:ascii="Arial" w:cs="Arial" w:eastAsia="Arial" w:hAnsi="Arial"/>
            <w:color w:val="0000ee"/>
            <w:sz w:val="24"/>
            <w:szCs w:val="24"/>
            <w:u w:val="single"/>
            <w:rtl w:val="0"/>
          </w:rPr>
          <w:t xml:space="preserve">https://pmc.ncbi.nlm.nih.gov/articles/PMC10493856/</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Food Safety in Hydroponic Food Crop Production: A Review ... - PMC, </w:t>
      </w:r>
      <w:hyperlink r:id="rId27">
        <w:r w:rsidDel="00000000" w:rsidR="00000000" w:rsidRPr="00000000">
          <w:rPr>
            <w:rFonts w:ascii="Arial" w:cs="Arial" w:eastAsia="Arial" w:hAnsi="Arial"/>
            <w:color w:val="0000ee"/>
            <w:sz w:val="24"/>
            <w:szCs w:val="24"/>
            <w:u w:val="single"/>
            <w:rtl w:val="0"/>
          </w:rPr>
          <w:t xml:space="preserve">https://pmc.ncbi.nlm.nih.gov/articles/PMC12248475/</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Post-Harvest UV-C Treatment of Microgreens for Inactivation ... - MDPI, </w:t>
      </w:r>
      <w:hyperlink r:id="rId28">
        <w:r w:rsidDel="00000000" w:rsidR="00000000" w:rsidRPr="00000000">
          <w:rPr>
            <w:rFonts w:ascii="Arial" w:cs="Arial" w:eastAsia="Arial" w:hAnsi="Arial"/>
            <w:color w:val="0000ee"/>
            <w:sz w:val="24"/>
            <w:szCs w:val="24"/>
            <w:u w:val="single"/>
            <w:rtl w:val="0"/>
          </w:rPr>
          <w:t xml:space="preserve">https://www.mdpi.com/2304-8158/15/6/974</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Sulforaphane rewires central metabolism to support antioxidant, </w:t>
      </w:r>
      <w:hyperlink r:id="rId29">
        <w:r w:rsidDel="00000000" w:rsidR="00000000" w:rsidRPr="00000000">
          <w:rPr>
            <w:rFonts w:ascii="Arial" w:cs="Arial" w:eastAsia="Arial" w:hAnsi="Arial"/>
            <w:color w:val="0000ee"/>
            <w:sz w:val="24"/>
            <w:szCs w:val="24"/>
            <w:u w:val="single"/>
            <w:rtl w:val="0"/>
          </w:rPr>
          <w:t xml:space="preserve">https://pmc.ncbi.nlm.nih.gov/articles/PMC10502441/</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Broccoli or Sulforaphane: Is It the Source or Dose That Matters? - PMC, </w:t>
      </w:r>
      <w:hyperlink r:id="rId30">
        <w:r w:rsidDel="00000000" w:rsidR="00000000" w:rsidRPr="00000000">
          <w:rPr>
            <w:rFonts w:ascii="Arial" w:cs="Arial" w:eastAsia="Arial" w:hAnsi="Arial"/>
            <w:color w:val="0000ee"/>
            <w:sz w:val="24"/>
            <w:szCs w:val="24"/>
            <w:u w:val="single"/>
            <w:rtl w:val="0"/>
          </w:rPr>
          <w:t xml:space="preserve">https://pmc.ncbi.nlm.nih.gov/articles/PMC6804255/</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Harnessing beneficial microbes to boost sprout and microgreen, </w:t>
      </w:r>
      <w:hyperlink r:id="rId31">
        <w:r w:rsidDel="00000000" w:rsidR="00000000" w:rsidRPr="00000000">
          <w:rPr>
            <w:rFonts w:ascii="Arial" w:cs="Arial" w:eastAsia="Arial" w:hAnsi="Arial"/>
            <w:color w:val="0000ee"/>
            <w:sz w:val="24"/>
            <w:szCs w:val="24"/>
            <w:u w:val="single"/>
            <w:rtl w:val="0"/>
          </w:rPr>
          <w:t xml:space="preserve">https://pubmed.ncbi.nlm.nih.gov/40552945/</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Red:Blue LED Ratio Modulates Growth and Nutritional Quality of, </w:t>
      </w:r>
      <w:hyperlink r:id="rId32">
        <w:r w:rsidDel="00000000" w:rsidR="00000000" w:rsidRPr="00000000">
          <w:rPr>
            <w:rFonts w:ascii="Arial" w:cs="Arial" w:eastAsia="Arial" w:hAnsi="Arial"/>
            <w:color w:val="0000ee"/>
            <w:sz w:val="24"/>
            <w:szCs w:val="24"/>
            <w:u w:val="single"/>
            <w:rtl w:val="0"/>
          </w:rPr>
          <w:t xml:space="preserve">https://www.mdpi.com/2311-7524/12/10/1210</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Effects of Green Light Deprivation and Red-to-Blue Ratio on Growth, </w:t>
      </w:r>
      <w:hyperlink r:id="rId33">
        <w:r w:rsidDel="00000000" w:rsidR="00000000" w:rsidRPr="00000000">
          <w:rPr>
            <w:rFonts w:ascii="Arial" w:cs="Arial" w:eastAsia="Arial" w:hAnsi="Arial"/>
            <w:color w:val="0000ee"/>
            <w:sz w:val="24"/>
            <w:szCs w:val="24"/>
            <w:u w:val="single"/>
            <w:rtl w:val="0"/>
          </w:rPr>
          <w:t xml:space="preserve">https://pmc.ncbi.nlm.nih.gov/articles/PMC13075160/</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Effects of LED light treatments on the bioactive composition and, </w:t>
      </w:r>
      <w:hyperlink r:id="rId34">
        <w:r w:rsidDel="00000000" w:rsidR="00000000" w:rsidRPr="00000000">
          <w:rPr>
            <w:rFonts w:ascii="Arial" w:cs="Arial" w:eastAsia="Arial" w:hAnsi="Arial"/>
            <w:color w:val="0000ee"/>
            <w:sz w:val="24"/>
            <w:szCs w:val="24"/>
            <w:u w:val="single"/>
            <w:rtl w:val="0"/>
          </w:rPr>
          <w:t xml:space="preserve">https://pmc.ncbi.nlm.nih.gov/articles/PMC13253669/</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Light manipulation as a route to enhancement of antioxidant ... - PMC, </w:t>
      </w:r>
      <w:hyperlink r:id="rId35">
        <w:r w:rsidDel="00000000" w:rsidR="00000000" w:rsidRPr="00000000">
          <w:rPr>
            <w:rFonts w:ascii="Arial" w:cs="Arial" w:eastAsia="Arial" w:hAnsi="Arial"/>
            <w:color w:val="0000ee"/>
            <w:sz w:val="24"/>
            <w:szCs w:val="24"/>
            <w:u w:val="single"/>
            <w:rtl w:val="0"/>
          </w:rPr>
          <w:t xml:space="preserve">https://pmc.ncbi.nlm.nih.gov/articles/PMC11186462/</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Optimization of light spectrum and intensity to enhance growth and, </w:t>
      </w:r>
      <w:hyperlink r:id="rId36">
        <w:r w:rsidDel="00000000" w:rsidR="00000000" w:rsidRPr="00000000">
          <w:rPr>
            <w:rFonts w:ascii="Arial" w:cs="Arial" w:eastAsia="Arial" w:hAnsi="Arial"/>
            <w:color w:val="0000ee"/>
            <w:sz w:val="24"/>
            <w:szCs w:val="24"/>
            <w:u w:val="single"/>
            <w:rtl w:val="0"/>
          </w:rPr>
          <w:t xml:space="preserve">https://pmc.ncbi.nlm.nih.gov/articles/PMC12967691/</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Effect of Low Light Intensity With Supplemental Far‐Red Light on, </w:t>
      </w:r>
      <w:hyperlink r:id="rId37">
        <w:r w:rsidDel="00000000" w:rsidR="00000000" w:rsidRPr="00000000">
          <w:rPr>
            <w:rFonts w:ascii="Arial" w:cs="Arial" w:eastAsia="Arial" w:hAnsi="Arial"/>
            <w:color w:val="0000ee"/>
            <w:sz w:val="24"/>
            <w:szCs w:val="24"/>
            <w:u w:val="single"/>
            <w:rtl w:val="0"/>
          </w:rPr>
          <w:t xml:space="preserve">https://pmc.ncbi.nlm.nih.gov/articles/PMC12208883/</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Effects of LED lighting on the nutritional properties and microbial, </w:t>
      </w:r>
      <w:hyperlink r:id="rId38">
        <w:r w:rsidDel="00000000" w:rsidR="00000000" w:rsidRPr="00000000">
          <w:rPr>
            <w:rFonts w:ascii="Arial" w:cs="Arial" w:eastAsia="Arial" w:hAnsi="Arial"/>
            <w:color w:val="0000ee"/>
            <w:sz w:val="24"/>
            <w:szCs w:val="24"/>
            <w:u w:val="single"/>
            <w:rtl w:val="0"/>
          </w:rPr>
          <w:t xml:space="preserve">https://www.frontiersin.org/journals/nutrition/articles/10.3389/fnut.2026.1869208/full</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Continuous LED Lighting Enhances Yield and Nutritional Value of, </w:t>
      </w:r>
      <w:hyperlink r:id="rId39">
        <w:r w:rsidDel="00000000" w:rsidR="00000000" w:rsidRPr="00000000">
          <w:rPr>
            <w:rFonts w:ascii="Arial" w:cs="Arial" w:eastAsia="Arial" w:hAnsi="Arial"/>
            <w:color w:val="0000ee"/>
            <w:sz w:val="24"/>
            <w:szCs w:val="24"/>
            <w:u w:val="single"/>
            <w:rtl w:val="0"/>
          </w:rPr>
          <w:t xml:space="preserve">https://pmc.ncbi.nlm.nih.gov/articles/PMC8781578/</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Nutritional quality profiles of six microgreens - PMC, </w:t>
      </w:r>
      <w:hyperlink r:id="rId40">
        <w:r w:rsidDel="00000000" w:rsidR="00000000" w:rsidRPr="00000000">
          <w:rPr>
            <w:rFonts w:ascii="Arial" w:cs="Arial" w:eastAsia="Arial" w:hAnsi="Arial"/>
            <w:color w:val="0000ee"/>
            <w:sz w:val="24"/>
            <w:szCs w:val="24"/>
            <w:u w:val="single"/>
            <w:rtl w:val="0"/>
          </w:rPr>
          <w:t xml:space="preserve">https://pmc.ncbi.nlm.nih.gov/articles/PMC11842852/</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review of the neuroprotective mechanisms of sulforaphane - PMC, </w:t>
      </w:r>
      <w:hyperlink r:id="rId41">
        <w:r w:rsidDel="00000000" w:rsidR="00000000" w:rsidRPr="00000000">
          <w:rPr>
            <w:rFonts w:ascii="Arial" w:cs="Arial" w:eastAsia="Arial" w:hAnsi="Arial"/>
            <w:color w:val="0000ee"/>
            <w:sz w:val="24"/>
            <w:szCs w:val="24"/>
            <w:u w:val="single"/>
            <w:rtl w:val="0"/>
          </w:rPr>
          <w:t xml:space="preserve">https://pmc.ncbi.nlm.nih.gov/articles/PMC12271217/</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Broccoli sprouts: An exceptionally rich source of inducers of, </w:t>
      </w:r>
      <w:hyperlink r:id="rId42">
        <w:r w:rsidDel="00000000" w:rsidR="00000000" w:rsidRPr="00000000">
          <w:rPr>
            <w:rFonts w:ascii="Arial" w:cs="Arial" w:eastAsia="Arial" w:hAnsi="Arial"/>
            <w:color w:val="0000ee"/>
            <w:sz w:val="24"/>
            <w:szCs w:val="24"/>
            <w:u w:val="single"/>
            <w:rtl w:val="0"/>
          </w:rPr>
          <w:t xml:space="preserve">https://pure.johnshopkins.edu/en/publications/broccoli-sprouts-an-exceptionally-rich-source-of-inducers-of-enzy-3</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Broccoli sprouts: An exceptionally rich source of inducers of ... - PMC, </w:t>
      </w:r>
      <w:hyperlink r:id="rId43">
        <w:r w:rsidDel="00000000" w:rsidR="00000000" w:rsidRPr="00000000">
          <w:rPr>
            <w:rFonts w:ascii="Arial" w:cs="Arial" w:eastAsia="Arial" w:hAnsi="Arial"/>
            <w:color w:val="0000ee"/>
            <w:sz w:val="24"/>
            <w:szCs w:val="24"/>
            <w:u w:val="single"/>
            <w:rtl w:val="0"/>
          </w:rPr>
          <w:t xml:space="preserve">https://pmc.ncbi.nlm.nih.gov/articles/PMC23369/</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Sulforaphane as a potential therapeutic agent - PMC - NIH, </w:t>
      </w:r>
      <w:hyperlink r:id="rId44">
        <w:r w:rsidDel="00000000" w:rsidR="00000000" w:rsidRPr="00000000">
          <w:rPr>
            <w:rFonts w:ascii="Arial" w:cs="Arial" w:eastAsia="Arial" w:hAnsi="Arial"/>
            <w:color w:val="0000ee"/>
            <w:sz w:val="24"/>
            <w:szCs w:val="24"/>
            <w:u w:val="single"/>
            <w:rtl w:val="0"/>
          </w:rPr>
          <w:t xml:space="preserve">https://pmc.ncbi.nlm.nih.gov/articles/PMC12451241/</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Sulforaphane Bioavailability from Glucoraphanin-Rich Broccoli, </w:t>
      </w:r>
      <w:hyperlink r:id="rId45">
        <w:r w:rsidDel="00000000" w:rsidR="00000000" w:rsidRPr="00000000">
          <w:rPr>
            <w:rFonts w:ascii="Arial" w:cs="Arial" w:eastAsia="Arial" w:hAnsi="Arial"/>
            <w:color w:val="0000ee"/>
            <w:sz w:val="24"/>
            <w:szCs w:val="24"/>
            <w:u w:val="single"/>
            <w:rtl w:val="0"/>
          </w:rPr>
          <w:t xml:space="preserve">https://journals.plos.org/plosone/article?id=10.1371/journal.pone.0140963</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Therapeutic potential of sulforaphane in liver diseases: a review, </w:t>
      </w:r>
      <w:hyperlink r:id="rId46">
        <w:r w:rsidDel="00000000" w:rsidR="00000000" w:rsidRPr="00000000">
          <w:rPr>
            <w:rFonts w:ascii="Arial" w:cs="Arial" w:eastAsia="Arial" w:hAnsi="Arial"/>
            <w:color w:val="0000ee"/>
            <w:sz w:val="24"/>
            <w:szCs w:val="24"/>
            <w:u w:val="single"/>
            <w:rtl w:val="0"/>
          </w:rPr>
          <w:t xml:space="preserve">https://www.frontiersin.org/journals/pharmacology/articles/10.3389/fphar.2023.1256029/full</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Phase 1 Study of a Sulforaphane-Containing Broccoli Sprout ... - PMC, </w:t>
      </w:r>
      <w:hyperlink r:id="rId47">
        <w:r w:rsidDel="00000000" w:rsidR="00000000" w:rsidRPr="00000000">
          <w:rPr>
            <w:rFonts w:ascii="Arial" w:cs="Arial" w:eastAsia="Arial" w:hAnsi="Arial"/>
            <w:color w:val="0000ee"/>
            <w:sz w:val="24"/>
            <w:szCs w:val="24"/>
            <w:u w:val="single"/>
            <w:rtl w:val="0"/>
          </w:rPr>
          <w:t xml:space="preserve">https://pmc.ncbi.nlm.nih.gov/articles/PMC4829228/</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Sulforaphane: Its “Coming of Age” as a Clinically Relevant ... - PMC, </w:t>
      </w:r>
      <w:hyperlink r:id="rId48">
        <w:r w:rsidDel="00000000" w:rsidR="00000000" w:rsidRPr="00000000">
          <w:rPr>
            <w:rFonts w:ascii="Arial" w:cs="Arial" w:eastAsia="Arial" w:hAnsi="Arial"/>
            <w:color w:val="0000ee"/>
            <w:sz w:val="24"/>
            <w:szCs w:val="24"/>
            <w:u w:val="single"/>
            <w:rtl w:val="0"/>
          </w:rPr>
          <w:t xml:space="preserve">https://pmc.ncbi.nlm.nih.gov/articles/PMC6815645/</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Effect of broccoli sprouts on insulin resistance in type 2 diabetic, </w:t>
      </w:r>
      <w:hyperlink r:id="rId49">
        <w:r w:rsidDel="00000000" w:rsidR="00000000" w:rsidRPr="00000000">
          <w:rPr>
            <w:rFonts w:ascii="Arial" w:cs="Arial" w:eastAsia="Arial" w:hAnsi="Arial"/>
            <w:color w:val="0000ee"/>
            <w:sz w:val="24"/>
            <w:szCs w:val="24"/>
            <w:u w:val="single"/>
            <w:rtl w:val="0"/>
          </w:rPr>
          <w:t xml:space="preserve">https://pubmed.ncbi.nlm.nih.gov/22537070/</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Sulforaphane—A Compound with Potential Health Benefits for, </w:t>
      </w:r>
      <w:hyperlink r:id="rId50">
        <w:r w:rsidDel="00000000" w:rsidR="00000000" w:rsidRPr="00000000">
          <w:rPr>
            <w:rFonts w:ascii="Arial" w:cs="Arial" w:eastAsia="Arial" w:hAnsi="Arial"/>
            <w:color w:val="0000ee"/>
            <w:sz w:val="24"/>
            <w:szCs w:val="24"/>
            <w:u w:val="single"/>
            <w:rtl w:val="0"/>
          </w:rPr>
          <w:t xml:space="preserve">https://pmc.ncbi.nlm.nih.gov/articles/PMC10886109/</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Sulforaphane Against the Metabolic Consequences of a High ... - PMC, </w:t>
      </w:r>
      <w:hyperlink r:id="rId51">
        <w:r w:rsidDel="00000000" w:rsidR="00000000" w:rsidRPr="00000000">
          <w:rPr>
            <w:rFonts w:ascii="Arial" w:cs="Arial" w:eastAsia="Arial" w:hAnsi="Arial"/>
            <w:color w:val="0000ee"/>
            <w:sz w:val="24"/>
            <w:szCs w:val="24"/>
            <w:u w:val="single"/>
            <w:rtl w:val="0"/>
          </w:rPr>
          <w:t xml:space="preserve">https://pmc.ncbi.nlm.nih.gov/articles/PMC12943407/</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Potential of isothiocyanate sulforaphane from broccoli to combat, </w:t>
      </w:r>
      <w:hyperlink r:id="rId52">
        <w:r w:rsidDel="00000000" w:rsidR="00000000" w:rsidRPr="00000000">
          <w:rPr>
            <w:rFonts w:ascii="Arial" w:cs="Arial" w:eastAsia="Arial" w:hAnsi="Arial"/>
            <w:color w:val="0000ee"/>
            <w:sz w:val="24"/>
            <w:szCs w:val="24"/>
            <w:u w:val="single"/>
            <w:rtl w:val="0"/>
          </w:rPr>
          <w:t xml:space="preserve">https://ukrbiochemjournal.org/2024/12/potential-of-isothiocyanate-sulforaphane-from-broccoli-to-combat-obesity-and-type-2-diabetes-involvement-of-nrf2-regulatory-pathway.html</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Sulforaphane from Broccoli Reduces Symptoms of Autism - PMC - NIH, </w:t>
      </w:r>
      <w:hyperlink r:id="rId53">
        <w:r w:rsidDel="00000000" w:rsidR="00000000" w:rsidRPr="00000000">
          <w:rPr>
            <w:rFonts w:ascii="Arial" w:cs="Arial" w:eastAsia="Arial" w:hAnsi="Arial"/>
            <w:color w:val="0000ee"/>
            <w:sz w:val="24"/>
            <w:szCs w:val="24"/>
            <w:u w:val="single"/>
            <w:rtl w:val="0"/>
          </w:rPr>
          <w:t xml:space="preserve">https://pmc.ncbi.nlm.nih.gov/articles/PMC5672987/</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NCT01335971 | Broccoli Sprout Extracts Trial to See if NRF2 is, </w:t>
      </w:r>
      <w:hyperlink r:id="rId54">
        <w:r w:rsidDel="00000000" w:rsidR="00000000" w:rsidRPr="00000000">
          <w:rPr>
            <w:rFonts w:ascii="Arial" w:cs="Arial" w:eastAsia="Arial" w:hAnsi="Arial"/>
            <w:color w:val="0000ee"/>
            <w:sz w:val="24"/>
            <w:szCs w:val="24"/>
            <w:u w:val="single"/>
            <w:rtl w:val="0"/>
          </w:rPr>
          <w:t xml:space="preserve">https://clinicaltrials.gov/study/NCT01335971</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Randomized Controlled Trial of the Effect of Broccoli Sprouts on, </w:t>
      </w:r>
      <w:hyperlink r:id="rId55">
        <w:r w:rsidDel="00000000" w:rsidR="00000000" w:rsidRPr="00000000">
          <w:rPr>
            <w:rFonts w:ascii="Arial" w:cs="Arial" w:eastAsia="Arial" w:hAnsi="Arial"/>
            <w:color w:val="0000ee"/>
            <w:sz w:val="24"/>
            <w:szCs w:val="24"/>
            <w:u w:val="single"/>
            <w:rtl w:val="0"/>
          </w:rPr>
          <w:t xml:space="preserve">https://pmc.ncbi.nlm.nih.gov/articles/PMC5010455/</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Feasibility and Tolerability of Daily Microgreen Consumption ... - MDPI, </w:t>
      </w:r>
      <w:hyperlink r:id="rId56">
        <w:r w:rsidDel="00000000" w:rsidR="00000000" w:rsidRPr="00000000">
          <w:rPr>
            <w:rFonts w:ascii="Arial" w:cs="Arial" w:eastAsia="Arial" w:hAnsi="Arial"/>
            <w:color w:val="0000ee"/>
            <w:sz w:val="24"/>
            <w:szCs w:val="24"/>
            <w:u w:val="single"/>
            <w:rtl w:val="0"/>
          </w:rPr>
          <w:t xml:space="preserve">https://www.mdpi.com/2072-6643/17/3/467</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Science - Enriched Being, </w:t>
      </w:r>
      <w:hyperlink r:id="rId57">
        <w:r w:rsidDel="00000000" w:rsidR="00000000" w:rsidRPr="00000000">
          <w:rPr>
            <w:rFonts w:ascii="Arial" w:cs="Arial" w:eastAsia="Arial" w:hAnsi="Arial"/>
            <w:color w:val="0000ee"/>
            <w:sz w:val="24"/>
            <w:szCs w:val="24"/>
            <w:u w:val="single"/>
            <w:rtl w:val="0"/>
          </w:rPr>
          <w:t xml:space="preserve">https://enrichedbeing.com/pages/the-science</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Red Cabbage Microgreens Lower Circulating Low-Density, </w:t>
      </w:r>
      <w:hyperlink r:id="rId58">
        <w:r w:rsidDel="00000000" w:rsidR="00000000" w:rsidRPr="00000000">
          <w:rPr>
            <w:rFonts w:ascii="Arial" w:cs="Arial" w:eastAsia="Arial" w:hAnsi="Arial"/>
            <w:color w:val="0000ee"/>
            <w:sz w:val="24"/>
            <w:szCs w:val="24"/>
            <w:u w:val="single"/>
            <w:rtl w:val="0"/>
          </w:rPr>
          <w:t xml:space="preserve">https://pubmed.ncbi.nlm.nih.gov/27933986/</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foods should be avoided to manage high cholesterol levels?, </w:t>
      </w:r>
      <w:hyperlink r:id="rId59">
        <w:r w:rsidDel="00000000" w:rsidR="00000000" w:rsidRPr="00000000">
          <w:rPr>
            <w:rFonts w:ascii="Arial" w:cs="Arial" w:eastAsia="Arial" w:hAnsi="Arial"/>
            <w:color w:val="0000ee"/>
            <w:sz w:val="24"/>
            <w:szCs w:val="24"/>
            <w:u w:val="single"/>
            <w:rtl w:val="0"/>
          </w:rPr>
          <w:t xml:space="preserve">https://discovery.researcher.life/questions/what-foods-should-be-avoided-to-manage-high-cholesterol-levels/737041a7671d847f7d15de9b08e0d5cda187e35b</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protective effect of red cabbage on water-soluble fractions of, </w:t>
      </w:r>
      <w:hyperlink r:id="rId60">
        <w:r w:rsidDel="00000000" w:rsidR="00000000" w:rsidRPr="00000000">
          <w:rPr>
            <w:rFonts w:ascii="Arial" w:cs="Arial" w:eastAsia="Arial" w:hAnsi="Arial"/>
            <w:color w:val="0000ee"/>
            <w:sz w:val="24"/>
            <w:szCs w:val="24"/>
            <w:u w:val="single"/>
            <w:rtl w:val="0"/>
          </w:rPr>
          <w:t xml:space="preserve">https://pmc.ncbi.nlm.nih.gov/articles/PMC9972813/</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Analysis of Phenolic Compounds in Buckwheat (Fagopyrum ... - PMC, </w:t>
      </w:r>
      <w:hyperlink r:id="rId61">
        <w:r w:rsidDel="00000000" w:rsidR="00000000" w:rsidRPr="00000000">
          <w:rPr>
            <w:rFonts w:ascii="Arial" w:cs="Arial" w:eastAsia="Arial" w:hAnsi="Arial"/>
            <w:color w:val="0000ee"/>
            <w:sz w:val="24"/>
            <w:szCs w:val="24"/>
            <w:u w:val="single"/>
            <w:rtl w:val="0"/>
          </w:rPr>
          <w:t xml:space="preserve">https://pmc.ncbi.nlm.nih.gov/articles/PMC9695562/</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Edible Plant Sprouts: Health Benefits, Trends, and Opportunities for, </w:t>
      </w:r>
      <w:hyperlink r:id="rId62">
        <w:r w:rsidDel="00000000" w:rsidR="00000000" w:rsidRPr="00000000">
          <w:rPr>
            <w:rFonts w:ascii="Arial" w:cs="Arial" w:eastAsia="Arial" w:hAnsi="Arial"/>
            <w:color w:val="0000ee"/>
            <w:sz w:val="24"/>
            <w:szCs w:val="24"/>
            <w:u w:val="single"/>
            <w:rtl w:val="0"/>
          </w:rPr>
          <w:t xml:space="preserve">https://pmc.ncbi.nlm.nih.gov/articles/PMC8398379/</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Physiology and Metabolism Alterations in Flavonoid Accumulation, </w:t>
      </w:r>
      <w:hyperlink r:id="rId63">
        <w:r w:rsidDel="00000000" w:rsidR="00000000" w:rsidRPr="00000000">
          <w:rPr>
            <w:rFonts w:ascii="Arial" w:cs="Arial" w:eastAsia="Arial" w:hAnsi="Arial"/>
            <w:color w:val="0000ee"/>
            <w:sz w:val="24"/>
            <w:szCs w:val="24"/>
            <w:u w:val="single"/>
            <w:rtl w:val="0"/>
          </w:rPr>
          <w:t xml:space="preserve">https://pmc.ncbi.nlm.nih.gov/articles/PMC11644169/</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Narrative Review on Pseudocereals and Cardiometabolic Health, </w:t>
      </w:r>
      <w:hyperlink r:id="rId64">
        <w:r w:rsidDel="00000000" w:rsidR="00000000" w:rsidRPr="00000000">
          <w:rPr>
            <w:rFonts w:ascii="Arial" w:cs="Arial" w:eastAsia="Arial" w:hAnsi="Arial"/>
            <w:color w:val="0000ee"/>
            <w:sz w:val="24"/>
            <w:szCs w:val="24"/>
            <w:u w:val="single"/>
            <w:rtl w:val="0"/>
          </w:rPr>
          <w:t xml:space="preserve">https://pmc.ncbi.nlm.nih.gov/articles/PMC13075176/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mc.ncbi.nlm.nih.gov/articles/PMC11842852/" TargetMode="External"/><Relationship Id="rId42" Type="http://schemas.openxmlformats.org/officeDocument/2006/relationships/hyperlink" Target="https://pure.johnshopkins.edu/en/publications/broccoli-sprouts-an-exceptionally-rich-source-of-inducers-of-enzy-3" TargetMode="External"/><Relationship Id="rId41" Type="http://schemas.openxmlformats.org/officeDocument/2006/relationships/hyperlink" Target="https://pmc.ncbi.nlm.nih.gov/articles/PMC12271217/" TargetMode="External"/><Relationship Id="rId44" Type="http://schemas.openxmlformats.org/officeDocument/2006/relationships/hyperlink" Target="https://pmc.ncbi.nlm.nih.gov/articles/PMC12451241/" TargetMode="External"/><Relationship Id="rId43" Type="http://schemas.openxmlformats.org/officeDocument/2006/relationships/hyperlink" Target="https://pmc.ncbi.nlm.nih.gov/articles/PMC23369/" TargetMode="External"/><Relationship Id="rId46" Type="http://schemas.openxmlformats.org/officeDocument/2006/relationships/hyperlink" Target="https://www.frontiersin.org/journals/pharmacology/articles/10.3389/fphar.2023.1256029/full" TargetMode="External"/><Relationship Id="rId45" Type="http://schemas.openxmlformats.org/officeDocument/2006/relationships/hyperlink" Target="https://journals.plos.org/plosone/article?id=10.1371/journal.pone.014096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onorharvestfarms.net/sources/" TargetMode="External"/><Relationship Id="rId48" Type="http://schemas.openxmlformats.org/officeDocument/2006/relationships/hyperlink" Target="https://pmc.ncbi.nlm.nih.gov/articles/PMC6815645/" TargetMode="External"/><Relationship Id="rId47" Type="http://schemas.openxmlformats.org/officeDocument/2006/relationships/hyperlink" Target="https://pmc.ncbi.nlm.nih.gov/articles/PMC4829228/" TargetMode="External"/><Relationship Id="rId49" Type="http://schemas.openxmlformats.org/officeDocument/2006/relationships/hyperlink" Target="https://pubmed.ncbi.nlm.nih.gov/22537070/" TargetMode="External"/><Relationship Id="rId5" Type="http://schemas.openxmlformats.org/officeDocument/2006/relationships/styles" Target="styles.xml"/><Relationship Id="rId6" Type="http://schemas.openxmlformats.org/officeDocument/2006/relationships/hyperlink" Target="https://pubmed.ncbi.nlm.nih.gov/41321944/" TargetMode="External"/><Relationship Id="rId7" Type="http://schemas.openxmlformats.org/officeDocument/2006/relationships/hyperlink" Target="https://pmc.ncbi.nlm.nih.gov/articles/PMC11859409/" TargetMode="External"/><Relationship Id="rId8" Type="http://schemas.openxmlformats.org/officeDocument/2006/relationships/hyperlink" Target="https://pmc.ncbi.nlm.nih.gov/articles/PMC10881865/" TargetMode="External"/><Relationship Id="rId31" Type="http://schemas.openxmlformats.org/officeDocument/2006/relationships/hyperlink" Target="https://pubmed.ncbi.nlm.nih.gov/40552945/" TargetMode="External"/><Relationship Id="rId30" Type="http://schemas.openxmlformats.org/officeDocument/2006/relationships/hyperlink" Target="https://pmc.ncbi.nlm.nih.gov/articles/PMC6804255/" TargetMode="External"/><Relationship Id="rId33" Type="http://schemas.openxmlformats.org/officeDocument/2006/relationships/hyperlink" Target="https://pmc.ncbi.nlm.nih.gov/articles/PMC13075160/" TargetMode="External"/><Relationship Id="rId32" Type="http://schemas.openxmlformats.org/officeDocument/2006/relationships/hyperlink" Target="https://www.mdpi.com/2311-7524/12/10/1210" TargetMode="External"/><Relationship Id="rId35" Type="http://schemas.openxmlformats.org/officeDocument/2006/relationships/hyperlink" Target="https://pmc.ncbi.nlm.nih.gov/articles/PMC11186462/" TargetMode="External"/><Relationship Id="rId34" Type="http://schemas.openxmlformats.org/officeDocument/2006/relationships/hyperlink" Target="https://pmc.ncbi.nlm.nih.gov/articles/PMC13253669/" TargetMode="External"/><Relationship Id="rId37" Type="http://schemas.openxmlformats.org/officeDocument/2006/relationships/hyperlink" Target="https://pmc.ncbi.nlm.nih.gov/articles/PMC12208883/" TargetMode="External"/><Relationship Id="rId36" Type="http://schemas.openxmlformats.org/officeDocument/2006/relationships/hyperlink" Target="https://pmc.ncbi.nlm.nih.gov/articles/PMC12967691/" TargetMode="External"/><Relationship Id="rId39" Type="http://schemas.openxmlformats.org/officeDocument/2006/relationships/hyperlink" Target="https://pmc.ncbi.nlm.nih.gov/articles/PMC8781578/" TargetMode="External"/><Relationship Id="rId38" Type="http://schemas.openxmlformats.org/officeDocument/2006/relationships/hyperlink" Target="https://www.frontiersin.org/journals/nutrition/articles/10.3389/fnut.2026.1869208/full" TargetMode="External"/><Relationship Id="rId62" Type="http://schemas.openxmlformats.org/officeDocument/2006/relationships/hyperlink" Target="https://pmc.ncbi.nlm.nih.gov/articles/PMC8398379/" TargetMode="External"/><Relationship Id="rId61" Type="http://schemas.openxmlformats.org/officeDocument/2006/relationships/hyperlink" Target="https://pmc.ncbi.nlm.nih.gov/articles/PMC9695562/" TargetMode="External"/><Relationship Id="rId20" Type="http://schemas.openxmlformats.org/officeDocument/2006/relationships/hyperlink" Target="https://pmc.ncbi.nlm.nih.gov/articles/PMC7587365/" TargetMode="External"/><Relationship Id="rId64" Type="http://schemas.openxmlformats.org/officeDocument/2006/relationships/hyperlink" Target="https://pmc.ncbi.nlm.nih.gov/articles/PMC13075176/" TargetMode="External"/><Relationship Id="rId63" Type="http://schemas.openxmlformats.org/officeDocument/2006/relationships/hyperlink" Target="https://pmc.ncbi.nlm.nih.gov/articles/PMC11644169/" TargetMode="External"/><Relationship Id="rId22" Type="http://schemas.openxmlformats.org/officeDocument/2006/relationships/hyperlink" Target="https://pubmed.ncbi.nlm.nih.gov/41726547/" TargetMode="External"/><Relationship Id="rId21" Type="http://schemas.openxmlformats.org/officeDocument/2006/relationships/hyperlink" Target="https://pmc.ncbi.nlm.nih.gov/articles/PMC12919383/" TargetMode="External"/><Relationship Id="rId24" Type="http://schemas.openxmlformats.org/officeDocument/2006/relationships/hyperlink" Target="https://pmc.ncbi.nlm.nih.gov/articles/PMC11464729/" TargetMode="External"/><Relationship Id="rId23" Type="http://schemas.openxmlformats.org/officeDocument/2006/relationships/hyperlink" Target="https://pmc.ncbi.nlm.nih.gov/articles/PMC11225695/" TargetMode="External"/><Relationship Id="rId60" Type="http://schemas.openxmlformats.org/officeDocument/2006/relationships/hyperlink" Target="https://pmc.ncbi.nlm.nih.gov/articles/PMC9972813/" TargetMode="External"/><Relationship Id="rId26" Type="http://schemas.openxmlformats.org/officeDocument/2006/relationships/hyperlink" Target="https://pmc.ncbi.nlm.nih.gov/articles/PMC10493856/" TargetMode="External"/><Relationship Id="rId25" Type="http://schemas.openxmlformats.org/officeDocument/2006/relationships/hyperlink" Target="https://pmc.ncbi.nlm.nih.gov/articles/PMC9103178/" TargetMode="External"/><Relationship Id="rId28" Type="http://schemas.openxmlformats.org/officeDocument/2006/relationships/hyperlink" Target="https://www.mdpi.com/2304-8158/15/6/974" TargetMode="External"/><Relationship Id="rId27" Type="http://schemas.openxmlformats.org/officeDocument/2006/relationships/hyperlink" Target="https://pmc.ncbi.nlm.nih.gov/articles/PMC12248475/" TargetMode="External"/><Relationship Id="rId29" Type="http://schemas.openxmlformats.org/officeDocument/2006/relationships/hyperlink" Target="https://pmc.ncbi.nlm.nih.gov/articles/PMC10502441/" TargetMode="External"/><Relationship Id="rId51" Type="http://schemas.openxmlformats.org/officeDocument/2006/relationships/hyperlink" Target="https://pmc.ncbi.nlm.nih.gov/articles/PMC12943407/" TargetMode="External"/><Relationship Id="rId50" Type="http://schemas.openxmlformats.org/officeDocument/2006/relationships/hyperlink" Target="https://pmc.ncbi.nlm.nih.gov/articles/PMC10886109/" TargetMode="External"/><Relationship Id="rId53" Type="http://schemas.openxmlformats.org/officeDocument/2006/relationships/hyperlink" Target="https://pmc.ncbi.nlm.nih.gov/articles/PMC5672987/" TargetMode="External"/><Relationship Id="rId52" Type="http://schemas.openxmlformats.org/officeDocument/2006/relationships/hyperlink" Target="https://ukrbiochemjournal.org/2024/12/potential-of-isothiocyanate-sulforaphane-from-broccoli-to-combat-obesity-and-type-2-diabetes-involvement-of-nrf2-regulatory-pathway.html" TargetMode="External"/><Relationship Id="rId11" Type="http://schemas.openxmlformats.org/officeDocument/2006/relationships/hyperlink" Target="https://www.frontiersin.org/journals/sustainable-food-systems/articles/10.3389/fsufs.2026.1809881/full" TargetMode="External"/><Relationship Id="rId55" Type="http://schemas.openxmlformats.org/officeDocument/2006/relationships/hyperlink" Target="https://pmc.ncbi.nlm.nih.gov/articles/PMC5010455/" TargetMode="External"/><Relationship Id="rId10" Type="http://schemas.openxmlformats.org/officeDocument/2006/relationships/hyperlink" Target="https://www.pnas.org/doi/pdf/10.1073/pnas.94.21.11149" TargetMode="External"/><Relationship Id="rId54" Type="http://schemas.openxmlformats.org/officeDocument/2006/relationships/hyperlink" Target="https://clinicaltrials.gov/study/NCT01335971" TargetMode="External"/><Relationship Id="rId13" Type="http://schemas.openxmlformats.org/officeDocument/2006/relationships/hyperlink" Target="https://pmc.ncbi.nlm.nih.gov/articles/PMC8834567/" TargetMode="External"/><Relationship Id="rId57" Type="http://schemas.openxmlformats.org/officeDocument/2006/relationships/hyperlink" Target="https://enrichedbeing.com/pages/the-science" TargetMode="External"/><Relationship Id="rId12" Type="http://schemas.openxmlformats.org/officeDocument/2006/relationships/hyperlink" Target="https://pmc.ncbi.nlm.nih.gov/articles/PMC9905132/" TargetMode="External"/><Relationship Id="rId56" Type="http://schemas.openxmlformats.org/officeDocument/2006/relationships/hyperlink" Target="https://www.mdpi.com/2072-6643/17/3/467" TargetMode="External"/><Relationship Id="rId15" Type="http://schemas.openxmlformats.org/officeDocument/2006/relationships/hyperlink" Target="https://pmc.ncbi.nlm.nih.gov/articles/PMC11435253/" TargetMode="External"/><Relationship Id="rId59" Type="http://schemas.openxmlformats.org/officeDocument/2006/relationships/hyperlink" Target="https://discovery.researcher.life/questions/what-foods-should-be-avoided-to-manage-high-cholesterol-levels/737041a7671d847f7d15de9b08e0d5cda187e35b" TargetMode="External"/><Relationship Id="rId14" Type="http://schemas.openxmlformats.org/officeDocument/2006/relationships/hyperlink" Target="https://pmc.ncbi.nlm.nih.gov/articles/PMC9864543/" TargetMode="External"/><Relationship Id="rId58" Type="http://schemas.openxmlformats.org/officeDocument/2006/relationships/hyperlink" Target="https://pubmed.ncbi.nlm.nih.gov/27933986/" TargetMode="External"/><Relationship Id="rId17" Type="http://schemas.openxmlformats.org/officeDocument/2006/relationships/hyperlink" Target="https://pmc.ncbi.nlm.nih.gov/articles/PMC12662059/" TargetMode="External"/><Relationship Id="rId16" Type="http://schemas.openxmlformats.org/officeDocument/2006/relationships/hyperlink" Target="https://pmc.ncbi.nlm.nih.gov/articles/PMC8877763/" TargetMode="External"/><Relationship Id="rId19" Type="http://schemas.openxmlformats.org/officeDocument/2006/relationships/hyperlink" Target="https://www.food-safety.com/articles/10269-the-raw-truth-about-raw-foods" TargetMode="External"/><Relationship Id="rId18" Type="http://schemas.openxmlformats.org/officeDocument/2006/relationships/hyperlink" Target="https://www.mdpi.com/2076-3417/11/17/79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