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rPr/>
      </w:pPr>
      <w:r w:rsidDel="00000000" w:rsidR="00000000" w:rsidRPr="00000000">
        <w:rPr>
          <w:rtl w:val="0"/>
        </w:rPr>
        <w:t xml:space="preserve">MIXED TRAY R&amp;D</w:t>
      </w:r>
    </w:p>
    <w:p w:rsidR="00000000" w:rsidDel="00000000" w:rsidP="00000000" w:rsidRDefault="00000000" w:rsidRPr="00000000" w14:paraId="00000002">
      <w:pPr>
        <w:spacing w:after="240" w:lineRule="auto"/>
        <w:rPr/>
      </w:pPr>
      <w:r w:rsidDel="00000000" w:rsidR="00000000" w:rsidRPr="00000000">
        <w:rPr>
          <w:rtl w:val="0"/>
        </w:rPr>
        <w:t xml:space="preserve">Creating mixed-variety microgreen trays requires balancing both the agronomic compatibility of the seeds (ensuring they germinate and reach the harvestable cotyledon stage simultaneously) and their complementary nutritional profiles. When co-planting, species in the same family (like </w:t>
      </w:r>
      <w:r w:rsidDel="00000000" w:rsidR="00000000" w:rsidRPr="00000000">
        <w:rPr>
          <w:i w:val="1"/>
          <w:iCs w:val="1"/>
          <w:rtl w:val="0"/>
        </w:rPr>
        <w:t xml:space="preserve">Brassicaceae</w:t>
      </w:r>
      <w:r w:rsidDel="00000000" w:rsidR="00000000" w:rsidRPr="00000000">
        <w:rPr>
          <w:rtl w:val="0"/>
        </w:rPr>
        <w:t xml:space="preserve"> or </w:t>
      </w:r>
      <w:r w:rsidDel="00000000" w:rsidR="00000000" w:rsidRPr="00000000">
        <w:rPr>
          <w:i w:val="1"/>
          <w:iCs w:val="1"/>
          <w:rtl w:val="0"/>
        </w:rPr>
        <w:t xml:space="preserve">Fabaceae</w:t>
      </w:r>
      <w:r w:rsidDel="00000000" w:rsidR="00000000" w:rsidRPr="00000000">
        <w:rPr>
          <w:rtl w:val="0"/>
        </w:rPr>
        <w:t xml:space="preserve">) often make the best physical bedfellows due to similar moisture needs and canopy heights, but cross-family mixing is highly effective if seed densities and light penetration are managed.</w:t>
      </w:r>
    </w:p>
    <w:p w:rsidR="00000000" w:rsidDel="00000000" w:rsidP="00000000" w:rsidRDefault="00000000" w:rsidRPr="00000000" w14:paraId="00000003">
      <w:pPr>
        <w:spacing w:after="240" w:lineRule="auto"/>
        <w:rPr/>
      </w:pPr>
      <w:r w:rsidDel="00000000" w:rsidR="00000000" w:rsidRPr="00000000">
        <w:rPr>
          <w:rtl w:val="0"/>
        </w:rPr>
        <w:t xml:space="preserve">Here are seven targeted 1020 tray recipes designed to address common nutritional deficiencies, along with the specific lighting and agronomic adjustments needed to optimize the entire tray.</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k4046erbldtq" w:id="0"/>
      <w:bookmarkEnd w:id="0"/>
      <w:r w:rsidDel="00000000" w:rsidR="00000000" w:rsidRPr="00000000">
        <w:rPr>
          <w:b w:val="1"/>
          <w:bCs w:val="1"/>
          <w:color w:val="000000"/>
          <w:sz w:val="26"/>
          <w:szCs w:val="26"/>
          <w:rtl w:val="0"/>
        </w:rPr>
        <w:t xml:space="preserve">1. The Cellular Defense Blend (Sulforaphane &amp; Phenol Focus)</w:t>
      </w:r>
    </w:p>
    <w:p w:rsidR="00000000" w:rsidDel="00000000" w:rsidP="00000000" w:rsidRDefault="00000000" w:rsidRPr="00000000" w14:paraId="00000005">
      <w:pPr>
        <w:numPr>
          <w:ilvl w:val="0"/>
          <w:numId w:val="8"/>
        </w:numPr>
        <w:spacing w:after="0" w:afterAutospacing="0" w:lineRule="auto"/>
        <w:ind w:left="720" w:hanging="360"/>
      </w:pPr>
      <w:r w:rsidDel="00000000" w:rsidR="00000000" w:rsidRPr="00000000">
        <w:rPr>
          <w:b w:val="1"/>
          <w:bCs w:val="1"/>
          <w:rtl w:val="0"/>
        </w:rPr>
        <w:t xml:space="preserve">Seed Mix:</w:t>
      </w:r>
      <w:r w:rsidDel="00000000" w:rsidR="00000000" w:rsidRPr="00000000">
        <w:rPr>
          <w:rtl w:val="0"/>
        </w:rPr>
        <w:t xml:space="preserve"> Broccoli, Red Cabbage, and Sango Radish.</w:t>
      </w:r>
    </w:p>
    <w:p w:rsidR="00000000" w:rsidDel="00000000" w:rsidP="00000000" w:rsidRDefault="00000000" w:rsidRPr="00000000" w14:paraId="00000006">
      <w:pPr>
        <w:numPr>
          <w:ilvl w:val="0"/>
          <w:numId w:val="8"/>
        </w:numPr>
        <w:spacing w:after="0" w:afterAutospacing="0" w:lineRule="auto"/>
        <w:ind w:left="720" w:hanging="360"/>
      </w:pPr>
      <w:r w:rsidDel="00000000" w:rsidR="00000000" w:rsidRPr="00000000">
        <w:rPr>
          <w:b w:val="1"/>
          <w:bCs w:val="1"/>
          <w:rtl w:val="0"/>
        </w:rPr>
        <w:t xml:space="preserve">Agronomic Compatibility:</w:t>
      </w:r>
      <w:r w:rsidDel="00000000" w:rsidR="00000000" w:rsidRPr="00000000">
        <w:rPr>
          <w:rtl w:val="0"/>
        </w:rPr>
        <w:t xml:space="preserve"> All belong to the </w:t>
      </w:r>
      <w:r w:rsidDel="00000000" w:rsidR="00000000" w:rsidRPr="00000000">
        <w:rPr>
          <w:i w:val="1"/>
          <w:iCs w:val="1"/>
          <w:rtl w:val="0"/>
        </w:rPr>
        <w:t xml:space="preserve">Brassicaceae</w:t>
      </w:r>
      <w:r w:rsidDel="00000000" w:rsidR="00000000" w:rsidRPr="00000000">
        <w:rPr>
          <w:rtl w:val="0"/>
        </w:rPr>
        <w:t xml:space="preserve"> family. They germinate in 2 to 3 days and are ready for harvest in 10 to 14 days, creating a uniform, dense canopy.</w:t>
      </w:r>
    </w:p>
    <w:p w:rsidR="00000000" w:rsidDel="00000000" w:rsidP="00000000" w:rsidRDefault="00000000" w:rsidRPr="00000000" w14:paraId="00000007">
      <w:pPr>
        <w:numPr>
          <w:ilvl w:val="0"/>
          <w:numId w:val="8"/>
        </w:numPr>
        <w:spacing w:after="0" w:afterAutospacing="0" w:lineRule="auto"/>
        <w:ind w:left="720" w:hanging="360"/>
      </w:pPr>
      <w:r w:rsidDel="00000000" w:rsidR="00000000" w:rsidRPr="00000000">
        <w:rPr>
          <w:b w:val="1"/>
          <w:bCs w:val="1"/>
          <w:rtl w:val="0"/>
        </w:rPr>
        <w:t xml:space="preserve">Nutritional Synergy:</w:t>
      </w:r>
      <w:r w:rsidDel="00000000" w:rsidR="00000000" w:rsidRPr="00000000">
        <w:rPr>
          <w:rtl w:val="0"/>
        </w:rPr>
        <w:t xml:space="preserve"> This mix is a powerhouse for the Keap1-Nrf2-ARE pathway. Broccoli provides massive amounts of glucoraphanin (the precursor to sulforaphane). Sango radish adds the highest DPPH and ABTS free-radical scavenging capacity, while red cabbage provides a dense matrix of anthocyanins.</w:t>
      </w:r>
    </w:p>
    <w:p w:rsidR="00000000" w:rsidDel="00000000" w:rsidP="00000000" w:rsidRDefault="00000000" w:rsidRPr="00000000" w14:paraId="00000008">
      <w:pPr>
        <w:numPr>
          <w:ilvl w:val="0"/>
          <w:numId w:val="8"/>
        </w:numPr>
        <w:spacing w:after="240" w:lineRule="auto"/>
        <w:ind w:left="720" w:hanging="360"/>
      </w:pPr>
      <w:r w:rsidDel="00000000" w:rsidR="00000000" w:rsidRPr="00000000">
        <w:rPr>
          <w:b w:val="1"/>
          <w:bCs w:val="1"/>
          <w:rtl w:val="0"/>
        </w:rPr>
        <w:t xml:space="preserve">Optimized Inputs:</w:t>
      </w:r>
      <w:r w:rsidDel="00000000" w:rsidR="00000000" w:rsidRPr="00000000">
        <w:rPr>
          <w:rtl w:val="0"/>
        </w:rPr>
        <w:t xml:space="preserve"> </w:t>
      </w:r>
      <w:r w:rsidDel="00000000" w:rsidR="00000000" w:rsidRPr="00000000">
        <w:rPr>
          <w:i w:val="1"/>
          <w:iCs w:val="1"/>
          <w:rtl w:val="0"/>
        </w:rPr>
        <w:t xml:space="preserve">Brassicaceae</w:t>
      </w:r>
      <w:r w:rsidDel="00000000" w:rsidR="00000000" w:rsidRPr="00000000">
        <w:rPr>
          <w:rtl w:val="0"/>
        </w:rPr>
        <w:t xml:space="preserve"> microgreens are highly sensitive to phototoxicity. Maintain a low light intensity of 50 to 70 </w:t>
      </w:r>
      <m:oMath>
        <m:r>
          <m:t>μ</m:t>
        </m:r>
      </m:oMath>
      <w:r w:rsidDel="00000000" w:rsidR="00000000" w:rsidRPr="00000000">
        <w:rPr>
          <w:rtl w:val="0"/>
        </w:rPr>
        <w:t xml:space="preserve">mol/m²·s, supplemented with 20% Far-Red light to encourage hypocotyl elongation and maximize both ascorbic acid and glucosinolate accumulation.</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ao7f50movsmy" w:id="1"/>
      <w:bookmarkEnd w:id="1"/>
      <w:r w:rsidDel="00000000" w:rsidR="00000000" w:rsidRPr="00000000">
        <w:rPr>
          <w:b w:val="1"/>
          <w:bCs w:val="1"/>
          <w:color w:val="000000"/>
          <w:sz w:val="26"/>
          <w:szCs w:val="26"/>
          <w:rtl w:val="0"/>
        </w:rPr>
        <w:t xml:space="preserve">2. The Cardio-Lipid Shield (Cardiovascular Support)</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Seed Mix:</w:t>
      </w:r>
      <w:r w:rsidDel="00000000" w:rsidR="00000000" w:rsidRPr="00000000">
        <w:rPr>
          <w:rtl w:val="0"/>
        </w:rPr>
        <w:t xml:space="preserve"> Red Cabbage and Buckwheat.</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Agronomic Compatibility:</w:t>
      </w:r>
      <w:r w:rsidDel="00000000" w:rsidR="00000000" w:rsidRPr="00000000">
        <w:rPr>
          <w:rtl w:val="0"/>
        </w:rPr>
        <w:t xml:space="preserve"> Both have moderate growth rates (harvest at 12–16 days). Buckwheat produces slightly taller, umbrella-like cotyledons, so red cabbage should be seeded slightly denser to compete for light.</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Nutritional Synergy:</w:t>
      </w:r>
      <w:r w:rsidDel="00000000" w:rsidR="00000000" w:rsidRPr="00000000">
        <w:rPr>
          <w:rtl w:val="0"/>
        </w:rPr>
        <w:t xml:space="preserve"> This tray is engineered for vascular health. Red cabbage microgreens have been shown in vivo to reduce circulating LDL cholesterol by up to 34% and lower hepatic triglycerides. Buckwheat provides exceptional amounts of rutin, a flavonoid glycoside that reduces vascular fragility and regulates blood pressure.</w:t>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b w:val="1"/>
          <w:bCs w:val="1"/>
          <w:rtl w:val="0"/>
        </w:rPr>
        <w:t xml:space="preserve">Optimized Inputs:</w:t>
      </w:r>
      <w:r w:rsidDel="00000000" w:rsidR="00000000" w:rsidRPr="00000000">
        <w:rPr>
          <w:rtl w:val="0"/>
        </w:rPr>
        <w:t xml:space="preserve"> To maximize the anthocyanins in the red cabbage and the rutin in the buckwheat, utilize a high-blue LED spectrum (e.g., 25:75 Red:Blue ratio) for the final 3 to 4 days of the growth cycle.</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73z5p2puply" w:id="2"/>
      <w:bookmarkEnd w:id="2"/>
      <w:r w:rsidDel="00000000" w:rsidR="00000000" w:rsidRPr="00000000">
        <w:rPr>
          <w:b w:val="1"/>
          <w:bCs w:val="1"/>
          <w:color w:val="000000"/>
          <w:sz w:val="26"/>
          <w:szCs w:val="26"/>
          <w:rtl w:val="0"/>
        </w:rPr>
        <w:t xml:space="preserve">3. The Plant-Powered Muscle Builder (Protein &amp; Fiber)</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b w:val="1"/>
          <w:bCs w:val="1"/>
          <w:rtl w:val="0"/>
        </w:rPr>
        <w:t xml:space="preserve">Seed Mix:</w:t>
      </w:r>
      <w:r w:rsidDel="00000000" w:rsidR="00000000" w:rsidRPr="00000000">
        <w:rPr>
          <w:rtl w:val="0"/>
        </w:rPr>
        <w:t xml:space="preserve"> Lentil, Mung Bean, and Pea.</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b w:val="1"/>
          <w:bCs w:val="1"/>
          <w:rtl w:val="0"/>
        </w:rPr>
        <w:t xml:space="preserve">Agronomic Compatibility:</w:t>
      </w:r>
      <w:r w:rsidDel="00000000" w:rsidR="00000000" w:rsidRPr="00000000">
        <w:rPr>
          <w:rtl w:val="0"/>
        </w:rPr>
        <w:t xml:space="preserve"> All are legumes (</w:t>
      </w:r>
      <w:r w:rsidDel="00000000" w:rsidR="00000000" w:rsidRPr="00000000">
        <w:rPr>
          <w:i w:val="1"/>
          <w:iCs w:val="1"/>
          <w:rtl w:val="0"/>
        </w:rPr>
        <w:t xml:space="preserve">Fabaceae</w:t>
      </w:r>
      <w:r w:rsidDel="00000000" w:rsidR="00000000" w:rsidRPr="00000000">
        <w:rPr>
          <w:rtl w:val="0"/>
        </w:rPr>
        <w:t xml:space="preserve">). They produce thick, robust stems and have high water demands, making them perfectly suited to grow together. They require a longer soak before sowing.</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b w:val="1"/>
          <w:bCs w:val="1"/>
          <w:rtl w:val="0"/>
        </w:rPr>
        <w:t xml:space="preserve">Nutritional Synergy:</w:t>
      </w:r>
      <w:r w:rsidDel="00000000" w:rsidR="00000000" w:rsidRPr="00000000">
        <w:rPr>
          <w:rtl w:val="0"/>
        </w:rPr>
        <w:t xml:space="preserve"> Lentils offer some of the highest total protein contents observed in microgreens (up to 6.47 g/100 g). Mung beans provide highly digestible complex carbohydrates and double the dietary fiber of standard sprouts, while peas add a sweet sensory profile to balance the earthy legumes.</w:t>
      </w:r>
    </w:p>
    <w:p w:rsidR="00000000" w:rsidDel="00000000" w:rsidP="00000000" w:rsidRDefault="00000000" w:rsidRPr="00000000" w14:paraId="00000012">
      <w:pPr>
        <w:numPr>
          <w:ilvl w:val="0"/>
          <w:numId w:val="6"/>
        </w:numPr>
        <w:spacing w:after="240" w:lineRule="auto"/>
        <w:ind w:left="720" w:hanging="360"/>
      </w:pPr>
      <w:r w:rsidDel="00000000" w:rsidR="00000000" w:rsidRPr="00000000">
        <w:rPr>
          <w:b w:val="1"/>
          <w:bCs w:val="1"/>
          <w:rtl w:val="0"/>
        </w:rPr>
        <w:t xml:space="preserve">Optimized Inputs:</w:t>
      </w:r>
      <w:r w:rsidDel="00000000" w:rsidR="00000000" w:rsidRPr="00000000">
        <w:rPr>
          <w:rtl w:val="0"/>
        </w:rPr>
        <w:t xml:space="preserve"> Legumes require higher light intensities to prevent them from becoming overly "leggy" and falling over. A standard 5:1 Red:Blue ratio at an intensity of 150 to 200 </w:t>
      </w:r>
      <m:oMath>
        <m:r>
          <m:t>μ</m:t>
        </m:r>
      </m:oMath>
      <w:r w:rsidDel="00000000" w:rsidR="00000000" w:rsidRPr="00000000">
        <w:rPr>
          <w:rtl w:val="0"/>
        </w:rPr>
        <w:t xml:space="preserve">mol/m²·s will keep the stems robust and maximize total fresh weight biomass.</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wrackxf8d63m" w:id="3"/>
      <w:bookmarkEnd w:id="3"/>
      <w:r w:rsidDel="00000000" w:rsidR="00000000" w:rsidRPr="00000000">
        <w:rPr>
          <w:b w:val="1"/>
          <w:bCs w:val="1"/>
          <w:color w:val="000000"/>
          <w:sz w:val="26"/>
          <w:szCs w:val="26"/>
          <w:rtl w:val="0"/>
        </w:rPr>
        <w:t xml:space="preserve">4. The Trace Mineral Matrix (Iron, Zinc &amp; Copper)</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bCs w:val="1"/>
          <w:rtl w:val="0"/>
        </w:rPr>
        <w:t xml:space="preserve">Seed Mix:</w:t>
      </w:r>
      <w:r w:rsidDel="00000000" w:rsidR="00000000" w:rsidRPr="00000000">
        <w:rPr>
          <w:rtl w:val="0"/>
        </w:rPr>
        <w:t xml:space="preserve"> Broccoli, Pea, and Mung Bean.</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bCs w:val="1"/>
          <w:rtl w:val="0"/>
        </w:rPr>
        <w:t xml:space="preserve">Agronomic Compatibility:</w:t>
      </w:r>
      <w:r w:rsidDel="00000000" w:rsidR="00000000" w:rsidRPr="00000000">
        <w:rPr>
          <w:rtl w:val="0"/>
        </w:rPr>
        <w:t xml:space="preserve"> Peas and mung beans form a tall, structured upper canopy, while broccoli fills in the understory.</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b w:val="1"/>
          <w:bCs w:val="1"/>
          <w:rtl w:val="0"/>
        </w:rPr>
        <w:t xml:space="preserve">Nutritional Synergy:</w:t>
      </w:r>
      <w:r w:rsidDel="00000000" w:rsidR="00000000" w:rsidRPr="00000000">
        <w:rPr>
          <w:rtl w:val="0"/>
        </w:rPr>
        <w:t xml:space="preserve"> Designed to combat "hidden hunger" and anemia. Broccoli is exceptionally efficient at accumulating iron and manganese. Peas excel in the uptake of phosphorus and copper, and mung beans provide high levels of zinc and calcium.</w:t>
      </w:r>
    </w:p>
    <w:p w:rsidR="00000000" w:rsidDel="00000000" w:rsidP="00000000" w:rsidRDefault="00000000" w:rsidRPr="00000000" w14:paraId="00000017">
      <w:pPr>
        <w:numPr>
          <w:ilvl w:val="0"/>
          <w:numId w:val="1"/>
        </w:numPr>
        <w:spacing w:after="240" w:lineRule="auto"/>
        <w:ind w:left="720" w:hanging="360"/>
      </w:pPr>
      <w:r w:rsidDel="00000000" w:rsidR="00000000" w:rsidRPr="00000000">
        <w:rPr>
          <w:b w:val="1"/>
          <w:bCs w:val="1"/>
          <w:rtl w:val="0"/>
        </w:rPr>
        <w:t xml:space="preserve">Optimized Inputs:</w:t>
      </w:r>
      <w:r w:rsidDel="00000000" w:rsidR="00000000" w:rsidRPr="00000000">
        <w:rPr>
          <w:rtl w:val="0"/>
        </w:rPr>
        <w:t xml:space="preserve"> Because you are growing a multi-tiered canopy, depriving the tray of green light (using only strictly red and blue diodes) can significantly enhance macro and micro mineral accumulation, particularly iron and nitrogen. A heavily blue-dominant spectrum (25:75 Red:Blue) increases bioavailable iron concentrations by 15 to 20 percent compared to monochromatic red or white light.</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3mb4kl2prwb8" w:id="4"/>
      <w:bookmarkEnd w:id="4"/>
      <w:r w:rsidDel="00000000" w:rsidR="00000000" w:rsidRPr="00000000">
        <w:rPr>
          <w:b w:val="1"/>
          <w:bCs w:val="1"/>
          <w:color w:val="000000"/>
          <w:sz w:val="26"/>
          <w:szCs w:val="26"/>
          <w:rtl w:val="0"/>
        </w:rPr>
        <w:t xml:space="preserve">5. The Skeletal Fortifier (Calcium &amp; Bone Health)</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b w:val="1"/>
          <w:bCs w:val="1"/>
          <w:rtl w:val="0"/>
        </w:rPr>
        <w:t xml:space="preserve">Seed Mix:</w:t>
      </w:r>
      <w:r w:rsidDel="00000000" w:rsidR="00000000" w:rsidRPr="00000000">
        <w:rPr>
          <w:rtl w:val="0"/>
        </w:rPr>
        <w:t xml:space="preserve"> Sunflower and Red Cabbage.</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b w:val="1"/>
          <w:bCs w:val="1"/>
          <w:rtl w:val="0"/>
        </w:rPr>
        <w:t xml:space="preserve">Agronomic Compatibility:</w:t>
      </w:r>
      <w:r w:rsidDel="00000000" w:rsidR="00000000" w:rsidRPr="00000000">
        <w:rPr>
          <w:rtl w:val="0"/>
        </w:rPr>
        <w:t xml:space="preserve"> Sunflower is a vigorous, heavy-yielding crop that must be managed carefully so it doesn't entirely shade out the cabbage. Sow the sunflower at a slightly lower density than usual.</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b w:val="1"/>
          <w:bCs w:val="1"/>
          <w:rtl w:val="0"/>
        </w:rPr>
        <w:t xml:space="preserve">Nutritional Synergy:</w:t>
      </w:r>
      <w:r w:rsidDel="00000000" w:rsidR="00000000" w:rsidRPr="00000000">
        <w:rPr>
          <w:rtl w:val="0"/>
        </w:rPr>
        <w:t xml:space="preserve"> Sunflower microgreens are an exceptional source of calcium and fumaric acid. Red cabbage acts as a complementary accumulator of skeletal minerals like magnesium and calcium, creating a highly bioavailable, plant-based bone support mix.</w:t>
      </w:r>
    </w:p>
    <w:p w:rsidR="00000000" w:rsidDel="00000000" w:rsidP="00000000" w:rsidRDefault="00000000" w:rsidRPr="00000000" w14:paraId="0000001C">
      <w:pPr>
        <w:numPr>
          <w:ilvl w:val="0"/>
          <w:numId w:val="5"/>
        </w:numPr>
        <w:spacing w:after="240" w:lineRule="auto"/>
        <w:ind w:left="720" w:hanging="360"/>
      </w:pPr>
      <w:r w:rsidDel="00000000" w:rsidR="00000000" w:rsidRPr="00000000">
        <w:rPr>
          <w:b w:val="1"/>
          <w:bCs w:val="1"/>
          <w:rtl w:val="0"/>
        </w:rPr>
        <w:t xml:space="preserve">Optimized Inputs:</w:t>
      </w:r>
      <w:r w:rsidDel="00000000" w:rsidR="00000000" w:rsidRPr="00000000">
        <w:rPr>
          <w:rtl w:val="0"/>
        </w:rPr>
        <w:t xml:space="preserve"> Use a cocopeat substrate. Cocopeat has an ideal pH (5.5 to 7.0) and high cation exchange capacity, which facilitates the rapid uptake of divalent cations like calcium and magnesium into the plant tissue.</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hxwpt8adu1g6" w:id="5"/>
      <w:bookmarkEnd w:id="5"/>
      <w:r w:rsidDel="00000000" w:rsidR="00000000" w:rsidRPr="00000000">
        <w:rPr>
          <w:b w:val="1"/>
          <w:bCs w:val="1"/>
          <w:color w:val="000000"/>
          <w:sz w:val="26"/>
          <w:szCs w:val="26"/>
          <w:rtl w:val="0"/>
        </w:rPr>
        <w:t xml:space="preserve">6. The Ocular &amp; Vision Support Blend (Carotenoids)</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b w:val="1"/>
          <w:bCs w:val="1"/>
          <w:rtl w:val="0"/>
        </w:rPr>
        <w:t xml:space="preserve">Seed Mix:</w:t>
      </w:r>
      <w:r w:rsidDel="00000000" w:rsidR="00000000" w:rsidRPr="00000000">
        <w:rPr>
          <w:rtl w:val="0"/>
        </w:rPr>
        <w:t xml:space="preserve"> Sango Radish and Lentil.</w:t>
      </w:r>
    </w:p>
    <w:p w:rsidR="00000000" w:rsidDel="00000000" w:rsidP="00000000" w:rsidRDefault="00000000" w:rsidRPr="00000000" w14:paraId="0000001F">
      <w:pPr>
        <w:numPr>
          <w:ilvl w:val="0"/>
          <w:numId w:val="7"/>
        </w:numPr>
        <w:spacing w:after="0" w:afterAutospacing="0" w:lineRule="auto"/>
        <w:ind w:left="720" w:hanging="360"/>
      </w:pPr>
      <w:r w:rsidDel="00000000" w:rsidR="00000000" w:rsidRPr="00000000">
        <w:rPr>
          <w:b w:val="1"/>
          <w:bCs w:val="1"/>
          <w:rtl w:val="0"/>
        </w:rPr>
        <w:t xml:space="preserve">Agronomic Compatibility:</w:t>
      </w:r>
      <w:r w:rsidDel="00000000" w:rsidR="00000000" w:rsidRPr="00000000">
        <w:rPr>
          <w:rtl w:val="0"/>
        </w:rPr>
        <w:t xml:space="preserve"> Both are exceptionally fast growers with high germination rates, though they come from different families.</w:t>
      </w:r>
    </w:p>
    <w:p w:rsidR="00000000" w:rsidDel="00000000" w:rsidP="00000000" w:rsidRDefault="00000000" w:rsidRPr="00000000" w14:paraId="00000020">
      <w:pPr>
        <w:numPr>
          <w:ilvl w:val="0"/>
          <w:numId w:val="7"/>
        </w:numPr>
        <w:spacing w:after="0" w:afterAutospacing="0" w:lineRule="auto"/>
        <w:ind w:left="720" w:hanging="360"/>
      </w:pPr>
      <w:r w:rsidDel="00000000" w:rsidR="00000000" w:rsidRPr="00000000">
        <w:rPr>
          <w:b w:val="1"/>
          <w:bCs w:val="1"/>
          <w:rtl w:val="0"/>
        </w:rPr>
        <w:t xml:space="preserve">Nutritional Synergy:</w:t>
      </w:r>
      <w:r w:rsidDel="00000000" w:rsidR="00000000" w:rsidRPr="00000000">
        <w:rPr>
          <w:rtl w:val="0"/>
        </w:rPr>
        <w:t xml:space="preserve"> Lentils synthesize massive amounts of total chlorophyll and carotenoids (up to 28.37 mg/100 g). Sango radish adds dense concentrations of lutein, beta-carotene, and anthocyanins. Together, these pigments act as lipophilic free radical scavengers that can protect ocular tissues from photo-oxidative damage.</w:t>
      </w:r>
    </w:p>
    <w:p w:rsidR="00000000" w:rsidDel="00000000" w:rsidP="00000000" w:rsidRDefault="00000000" w:rsidRPr="00000000" w14:paraId="00000021">
      <w:pPr>
        <w:numPr>
          <w:ilvl w:val="0"/>
          <w:numId w:val="7"/>
        </w:numPr>
        <w:spacing w:after="240" w:lineRule="auto"/>
        <w:ind w:left="720" w:hanging="360"/>
      </w:pPr>
      <w:r w:rsidDel="00000000" w:rsidR="00000000" w:rsidRPr="00000000">
        <w:rPr>
          <w:b w:val="1"/>
          <w:bCs w:val="1"/>
          <w:rtl w:val="0"/>
        </w:rPr>
        <w:t xml:space="preserve">Optimized Inputs:</w:t>
      </w:r>
      <w:r w:rsidDel="00000000" w:rsidR="00000000" w:rsidRPr="00000000">
        <w:rPr>
          <w:rtl w:val="0"/>
        </w:rPr>
        <w:t xml:space="preserve"> Exposing the tray to a brief, acute dose of UV-C light (e.g., 10 minutes) a few days prior to harvest acts as a severe elicitor, which has been shown to double chlorophyll content and exponentially increase carotenoid synthesis as the plants mount a defense against the radiation.</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yavut99825yb" w:id="6"/>
      <w:bookmarkEnd w:id="6"/>
      <w:r w:rsidDel="00000000" w:rsidR="00000000" w:rsidRPr="00000000">
        <w:rPr>
          <w:b w:val="1"/>
          <w:bCs w:val="1"/>
          <w:color w:val="000000"/>
          <w:sz w:val="26"/>
          <w:szCs w:val="26"/>
          <w:rtl w:val="0"/>
        </w:rPr>
        <w:t xml:space="preserve">7. The Vitamin C &amp; Antioxidant Surge</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Seed Mix:</w:t>
      </w:r>
      <w:r w:rsidDel="00000000" w:rsidR="00000000" w:rsidRPr="00000000">
        <w:rPr>
          <w:rtl w:val="0"/>
        </w:rPr>
        <w:t xml:space="preserve"> Bean, Pea, and Sango Radish.</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Agronomic Compatibility:</w:t>
      </w:r>
      <w:r w:rsidDel="00000000" w:rsidR="00000000" w:rsidRPr="00000000">
        <w:rPr>
          <w:rtl w:val="0"/>
        </w:rPr>
        <w:t xml:space="preserve"> Harvest at roughly 10 to 12 days when the radish cotyledons are fully expanded and the legume leaves are tender.</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Nutritional Synergy:</w:t>
      </w:r>
      <w:r w:rsidDel="00000000" w:rsidR="00000000" w:rsidRPr="00000000">
        <w:rPr>
          <w:rtl w:val="0"/>
        </w:rPr>
        <w:t xml:space="preserve"> Bean microgreens yield an extraordinary 80.45 mg/100 g of ascorbic acid, followed closely by peas at 70.76 mg/100 g. The radish adds high phenolic content, creating a broad-spectrum antioxidant matrix.</w:t>
      </w:r>
    </w:p>
    <w:p w:rsidR="00000000" w:rsidDel="00000000" w:rsidP="00000000" w:rsidRDefault="00000000" w:rsidRPr="00000000" w14:paraId="00000026">
      <w:pPr>
        <w:numPr>
          <w:ilvl w:val="0"/>
          <w:numId w:val="2"/>
        </w:numPr>
        <w:spacing w:after="240" w:lineRule="auto"/>
        <w:ind w:left="720" w:hanging="360"/>
      </w:pPr>
      <w:r w:rsidDel="00000000" w:rsidR="00000000" w:rsidRPr="00000000">
        <w:rPr>
          <w:b w:val="1"/>
          <w:bCs w:val="1"/>
          <w:rtl w:val="0"/>
        </w:rPr>
        <w:t xml:space="preserve">Optimized Inputs:</w:t>
      </w:r>
      <w:r w:rsidDel="00000000" w:rsidR="00000000" w:rsidRPr="00000000">
        <w:rPr>
          <w:rtl w:val="0"/>
        </w:rPr>
        <w:t xml:space="preserve"> Implement a Continuous Light (CL) stress protocol. Leaving the LED lights on for a 24-hour photoperiod for the final 48 hours before harvest induces a state of mild, sustained oxidative stress in the plants. To survive this, the microgreens rapidly upregulate the production of non-enzymatic antioxidants (like Vitamin C) and antioxidant enzymes, significantly boosting the nutritional payload without causing visible leaf damage.</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uac5dsmzekur" w:id="7"/>
      <w:bookmarkEnd w:id="7"/>
      <w:r w:rsidDel="00000000" w:rsidR="00000000" w:rsidRPr="00000000">
        <w:rPr>
          <w:b w:val="1"/>
          <w:bCs w:val="1"/>
          <w:color w:val="000000"/>
          <w:sz w:val="26"/>
          <w:szCs w:val="26"/>
          <w:rtl w:val="0"/>
        </w:rPr>
        <w:t xml:space="preserve">Agronomic Adjustments for Co-Planted Trays</w:t>
      </w:r>
    </w:p>
    <w:p w:rsidR="00000000" w:rsidDel="00000000" w:rsidP="00000000" w:rsidRDefault="00000000" w:rsidRPr="00000000" w14:paraId="00000028">
      <w:pPr>
        <w:spacing w:after="240" w:lineRule="auto"/>
        <w:rPr/>
      </w:pPr>
      <w:r w:rsidDel="00000000" w:rsidR="00000000" w:rsidRPr="00000000">
        <w:rPr>
          <w:rtl w:val="0"/>
        </w:rPr>
        <w:t xml:space="preserve">When mixing varieties, finding a "middle ground" for your environmental inputs is vital, as a setting that biofortifies one species might stunt another.</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b w:val="1"/>
          <w:bCs w:val="1"/>
          <w:rtl w:val="0"/>
        </w:rPr>
        <w:t xml:space="preserve">The Baseline Spectrum:</w:t>
      </w:r>
      <w:r w:rsidDel="00000000" w:rsidR="00000000" w:rsidRPr="00000000">
        <w:rPr>
          <w:rtl w:val="0"/>
        </w:rPr>
        <w:t xml:space="preserve"> For mixed trays, a 5:1 Red:Blue LED ratio is the safest and most productive baseline. It provides enough red light to ensure acceptable total fresh weight and stem height for slower growers, while offering enough blue light to stimulate the phenylpropanoid pathway (which generates polyphenols and antioxidants) across all species.</w:t>
      </w:r>
    </w:p>
    <w:p w:rsidR="00000000" w:rsidDel="00000000" w:rsidP="00000000" w:rsidRDefault="00000000" w:rsidRPr="00000000" w14:paraId="0000002A">
      <w:pPr>
        <w:numPr>
          <w:ilvl w:val="0"/>
          <w:numId w:val="3"/>
        </w:numPr>
        <w:spacing w:after="0" w:afterAutospacing="0" w:lineRule="auto"/>
        <w:ind w:left="720" w:hanging="360"/>
      </w:pPr>
      <w:r w:rsidDel="00000000" w:rsidR="00000000" w:rsidRPr="00000000">
        <w:rPr>
          <w:b w:val="1"/>
          <w:bCs w:val="1"/>
          <w:rtl w:val="0"/>
        </w:rPr>
        <w:t xml:space="preserve">Substrate Selection:</w:t>
      </w:r>
      <w:r w:rsidDel="00000000" w:rsidR="00000000" w:rsidRPr="00000000">
        <w:rPr>
          <w:rtl w:val="0"/>
        </w:rPr>
        <w:t xml:space="preserve"> Because mixed trays often result in uneven canopies with varying levels of airflow, fungal pressure is a primary concern. Utilizing cocopeat or sterile hydroponic mats (rather than heavily composted soil) provides natural antifungal properties and mitigates the risk of foodborne pathogens proliferating in the dense root zone.</w:t>
      </w:r>
    </w:p>
    <w:p w:rsidR="00000000" w:rsidDel="00000000" w:rsidP="00000000" w:rsidRDefault="00000000" w:rsidRPr="00000000" w14:paraId="0000002B">
      <w:pPr>
        <w:numPr>
          <w:ilvl w:val="0"/>
          <w:numId w:val="3"/>
        </w:numPr>
        <w:spacing w:after="240" w:lineRule="auto"/>
        <w:ind w:left="720" w:hanging="360"/>
      </w:pPr>
      <w:r w:rsidDel="00000000" w:rsidR="00000000" w:rsidRPr="00000000">
        <w:rPr>
          <w:b w:val="1"/>
          <w:bCs w:val="1"/>
          <w:rtl w:val="0"/>
        </w:rPr>
        <w:t xml:space="preserve">Watering and EC (Electrical Conductivity):</w:t>
      </w:r>
      <w:r w:rsidDel="00000000" w:rsidR="00000000" w:rsidRPr="00000000">
        <w:rPr>
          <w:rtl w:val="0"/>
        </w:rPr>
        <w:t xml:space="preserve"> Legumes transpire heavily and require more water, while Brassicas are prone to damping-off if overwatered. Employing a bottom-watering hydroponic or ebb-and-flow system ensures the substrate remains moist but the aerial canopy and cotyledons stay completely dry, reducing the risk of rot in your co-planted trays.</w:t>
      </w:r>
    </w:p>
    <w:p w:rsidR="00000000" w:rsidDel="00000000" w:rsidP="00000000" w:rsidRDefault="00000000" w:rsidRPr="00000000" w14:paraId="0000002C">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