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Microgreen Polyculture: Synergistic Agronomic Blends and Clinical Phytochemistry of Specialty Seed Varieties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cultivation of microgreens has rapidly evolved from the production of simple culinary garnishes into a highly sophisticated branch of controlled environment agriculture (CEA) focused on the generation of functional foods, targeted biofortification, and clinical nutrition. Harvested precisely at the emergence of the first true leaves—typically between seven and twenty-one days post-germination—these immature seedlings possess macronutrient densities and phytochemical concentrations that frequently exceed those of their mature counterparts by orders of magnitude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initial stages of ontogeny, the germinating seed undergoes a massive mobilization of metabolic reserves, activating a cascade of hydrolytic enzymes that degrade complex starches and storage proteins into highly bioavailable simple sugars and free amino acids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Concurrently, this developmental phase triggers the intense biosynthesis of secondary metabolites, including glucosinolates, phenolic acids, flavonoids, and specialized lipid molecules, which serve as endogenous defense mechanisms for the vulnerable seedling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combination of specific seed varieties within a single cultivation matrix—a practice known as microgreen polyculture—allows for the development of tailored agronomic architectures and highly specific nutritional profiles. This report investigates the formulation of advanced microgreen tray blends utilizing a predefined, specialized inventory of twelve seeds: Di Cicco broccoli, Rambo purple radish, Black oil sunflower, Speckled pea, Fenugreek, Borage, Red garnet amaranth, Red Acre cabbage, Chia, Mung bean, Red lentil, and Hard red winter wheat. Furthermore, this document provides an exhaustive clinical and phytochemical analysis of the specialty seeds within this inventory, specifically focusing on the molecular mechanisms, nutritional density, and therapeutic potential of fenugreek, borage, amaranth, chia, and wheat.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Agronomic Design and Synergistic Tray Blends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formulation of multi-species microgreen trays is an exercise in precision agronomy. It requires the meticulous calculation of seed density, the synchronization of days to maturity (DTM), and a deep understanding of physical canopy architecture and root zone (rhizosphere) dynamics. Sowing seeds with disparate germination requirements or significantly divergent growth rates within the same substrate can result in severe competitive exclusion, uneven light distribution, and the creation of localized, stagnant microclimates that promote fungal pathogens such as </w:t>
      </w:r>
      <w:r w:rsidDel="00000000" w:rsidR="00000000" w:rsidRPr="00000000">
        <w:rPr>
          <w:rFonts w:ascii="Google Sans" w:cs="Google Sans" w:eastAsia="Google Sans" w:hAnsi="Google Sans"/>
          <w:i w:val="1"/>
          <w:iCs w:val="1"/>
          <w:color w:val="1f1f1f"/>
          <w:rtl w:val="0"/>
        </w:rPr>
        <w:t xml:space="preserve">Pythium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Rhizoctonia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following advanced blends have been engineered to optimize physical compatibility in both the rhizosphere and the canopy, while simultaneously delivering targeted phytochemical synergies intended for specific clinical or dietary applications.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1: The Cardiometabolic Vanguard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precise polyculture blend is composed of Di Cicco Broccoli (30%), Red Acre Cabbage (30%), Fenugreek (25%), and Chia (15%). It is explicitly engineered to target lipid metabolism and glycemic control by merging the powerful glucosinolate profile of the Brassicaceae family with the highly functional soluble fibers and mucilage derived from fenugreek and chia. Preclinical murine models have conclusively demonstrated that dietary supplementation with red cabbage microgreens significantly attenuates diet-induced weight gain and drastically reduces circulating low-density lipoprotein (LDL) cholesterol and hepatic triglyceride levels in subjects consuming a high-fat diet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reduction in LDL is accompanied by a marked decrease in the expression of inflammatory cytokines within the liver, highlighting a systemic protective effect against atherosclerosis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Concurrently, the inclusion of Di Cicco broccoli microgreens supplies exceptionally high concentrations of glucoraphanin. Upon cellular disruption (such as mastication), glucoraphanin is rapidly hydrolyzed by the endogenous enzyme myrosinase into sulforaphane, which is arguably the most potent naturally occurring inducer of the Nrf2/Keap1 antioxidant and phase II detoxification pathway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fenugreek and chia provides a highly complementary physical and biochemical mechanism of action. The complex galactomannan fibers synthesized by fenugreek and the dense mucilaginous polysaccharides exuded by chia seeds form viscous, hydrocolloid gel networks within the mammalian gastrointestinal tract. This rheological shift physically delays gastric emptying, slows the enzymatic cleavage of complex carbohydrates, and drastically modulates postprandial glucose absorption into the bloodstream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agronomic perspective, cultivating this blend requires specific substrate management. Chia and fenugreek seeds exhibit profound mucilaginous properties immediately upon hydration. While this mucilage is highly beneficial therapeutically, it can retain excessive moisture in the cultivation substrate, increasing the risk of damping-off for neighboring seeds. To optimize the cultivation of this blend, it is strongly recommended to pre-germinate the broccoli and cabbage seeds on the substrate for 24 to 36 hours prior to introducing the chia and fenugreek. By staggering the sowing, the mucilage generated by the chia subsequently acts as a natural, sustained-release humectant, maintaining optimal moisture levels for the slower-rooting Brassicas during the critical blackout and etiolation phase.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2: The Porphyrin-Betalain Cascade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visually striking and biochemically dense combination consists of Rambo Purple Radish (40%), Red Garnet Amaranth (35%), and Borage (25%). The primary objective of this blend is to maximize the accumulation of plant pigments—specifically anthocyanins and betalains—alongside the unique phenolic acids contributed by the vegetative tissues of borage. Rambo purple radish is characterized by its deep, vibrant pigmentation, which is driven by high concentrations of cyanidin-3-glucoside and other complex anthocyanins. These flavonoids exhibit profound free radical scavenging capabilities and have been linked to improved endothelial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Red garnet amaranth contributes an entirely different class of pigments known as betalains, specifically the nitrogen-containing, water-soluble betacyanin known as amaranthin. Betalains possess highly bioavailable antioxidant properties and, unlike anthocyanins, their biosynthesis is aggressively upregulated under conditions of environmental or abiotic stress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Borage introduces a distinct phytochemical vector by providing high yields of rosmarinic acid and the essential omega-6 polyunsaturated fatty acid, gamma-linolenic acid (GLA), creating a highly anti-inflammatory matrix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blend presents a structurally complex agronomic challenge due to extreme phenotypic divergence among the selected species. Rambo radish is an aggressive, rapidly germinating, and fast-growing variety that quickly establishes a broad, light-intercepting canopy. Conversely, red garnet amaranth is a delicate, extremely slow-growing microgreen that requires higher ambient temperatures to achieve optimal germination and structural integrity. Borage produces substantial, thick cotyledons and a robust stem. To prevent the aggressive radish and the heavy borage from completely outcompeting the fragile amaranth for photosynthetically active radiation (PAR), a highly stratified seeding approach is mandatory. The amaranth must be sown and allowed to establish for 48 to 72 hours under high humidity before the radish and borage seeds are introduced to the matrix. Furthermore, the application of blue-dominant LED lighting (for example, a Red to Blue ratio of 1:1 or 2:1) is highly recommended for this specific blend. Research indicates that increased blue photon flux significantly upregulates both anthocyanin and rosmarinic acid biosynthesis through the activation of cryptochromes, while simultaneously keeping the radish hypocotyls compact, thereby preventing canopy overgrowth and ensuring all three species receive adequate light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3: The Macronutrient and Structural Base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Engineered for maximal biomass generation, extreme caloric density, and superior macronutrient delivery, this blend is composed of Speckled Pea (35%), Black Oil Sunflower (35%), Hard Red Winter Wheat (15%), and Red Lentil (15%). Dominated by the Fabaceae and Asteraceae families, this combination functions as a staple dietary supplement rather than a mere garnish. Speckled peas and black oil sunflowers generate immense fresh weight per square meter and are exceptionally rich in high-quality plant proteins, complex carbohydrates, and essential fatty acids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micro-lentils provide a supplementary pulse of easily digestible protein and exhibit exceptionally high levels of ascorbic acid and total chlorophyll during their early ontogeny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hard red winter wheat acts as a structural scaffold; its rigid, upright growth habit supports the sprawling tendrils of the pea shoots. Additionally, the wheatgrass provides a highly concentrated source of enzymatic antioxidants, specifically superoxide dismutase (SOD), which provides a sustained cellular defense against oxidative stress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Cultivating this blend requires rigorous pre-sowing protocols. All seeds within this matrix possess thick testas (seed coats) and massive endosperms, necessitating a pre-soaking protocol of 8 to 12 hours to break dormancy and initiate the enzymatic degradation of starches. Because sunflower seed hulls are notoriously prone to harboring fungal spores, rigorous sanitization using a mild peracetic acid or a food-grade hydrogen peroxide solution during the soaking phase is critical to ensure food safety and crop viability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blend forms a deeply intertwined, aggressive root mat and a towering, dense canopy. Harvest timing is critical and must be executed carefully—usually between 10 to 14 days—before the first true leaves of the sunflower emerge, as they rapidly synthesize bitter sesquiterpene lactones, and before the wheatgrass becomes overly fibrous and unpalatable.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4: The Culinary Aromatic Matrix</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Designed specifically for high-end gastronomy and complex sensory experiences, this blend consists of Borage (30%), Fenugreek (30%), Di Cicco Broccoli (20%), and Mung Bean (20%). It balances the refreshing, crisp, cucumber-like flavor profile of borage with the mildly bitter, maple-spice, and nutty notes of fenugreek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Di Cicco broccoli provides a familiar, earthy, and slightly sulfury Brassica foundation, while the mung bean sprouts contribute a crisp, highly succulent texture that acts as a palate cleanser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Mung beans are heavily utilized in their immature sprouted form due to the rapid reduction of anti-nutritional factors (such as phytic acid and tannins) that occurs during early germination, which corresponds to an exponential increase in bioavailable iron, magnesium, and vitamin 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germination kinetics of this blend require careful environmental manipulation. Mung beans and broccoli germinate rapidly, pushing their radicles into the substrate within 24 hours. Conversely, borage and fenugreek require slightly longer intervals and struggle to shed their heavy seed hulls if ambient humidity fluctuates. Applying a localized physical weight (such as a weighted, unperforated top tray) during the initial 72-hour blackout period encourages robust hypocotyl thickening as the seedlings push against the resistance. This mechanical stress also creates the friction necessary to assist in the efficient shedding of the borage and fenugreek hulls, ensuring a clean, marketable canopy upon harvest.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 5: The Rapid-Canopy Sprouting Blend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Formulated for high-velocity commercial production and extremely rapid crop cycling, this blend comprises Mung Bean (40%), Red Lentil (30%), Rambo Purple Radish (20%), and Chia (10%). This combination is capable of reaching harvest maturity in a mere 7 to 9 days. It relies entirely on the aggressive germination energies and rapid biomass accumulation of the mung beans, lentils, and radishes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matrix, the chia acts primarily as a hydro-regulatory matrix at the substrate level rather than a canopy component. The biological interaction between the rapid proteolytic cleavage of complex proteins in the germinating legumes and the generation of sharp, volatile isothiocyanates in the radish creates a highly bioavailable, easily digestible, and sharply flavored functional food profile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the dense sowing rates required to achieve a profitable yield with mung beans and lentils, combined with the extreme moisture-retaining capacity of the chia mucilage, excellent atmospheric control is mandatory. Constant horizontal airflow across the canopy is required to prevent the accumulation of boundary layer humidity, which would otherwise inevitably lead to anaerobic conditions in the root zone and subsequent crop failure.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Blend Designation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Synergistic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Seeding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Harvest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Substrate &amp; Environmental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Cardiometabolic Vanguard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Lipid modulation, glycemic control, detoxification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Broc 30 : Cab 30 : Fen 25 : Chia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10-14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Pre-germinate Brassicas; utilize chia mucilage as a sustained substrate humectant.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Porphyrin-Betalain Cascade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Antioxidant maximization, free-radical scavenging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 40 : Ama 35 : Bor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12-16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Staggered seeding; utilize blue-dominant LED spectra to enhance flavonoid yield.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Macronutrient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Protein density, essential fatty acids, biomass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 35 : Sun 35 : Wheat 15 : Len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10-12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12-hour seed soak; rigorous sanitation required; harvest before true leaf emergence.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Culinary Aromatic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Gastronomic complexity, sensory texture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 30 : Fen 30 : Broc 20 : Mung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14-18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Weighted blackout period to ensure robust hypocotyls and efficient hull shedding.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Rapid-Canopy Sprouting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turnover rate, highly digestible nutrients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Mung 40 : Len 30 : Rad 20 : Chia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ambient horizontal airflow to counter the dense, high-moisture legume canopy.</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Research and Phytochemical Profiles of Specialty Seeds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species such as broccoli and red cabbage have been extensively documented in the literature for their sulforaphane and anthocyanin contents, the functional potentials of fenugreek, borage, amaranth, chia, and wheat in their specific microgreen stages represent a rapidly expanding frontier in clinical nutritional science. The biochemical transition from a dormant seed to a photosynthesizing microgreen initiates complex, highly orchestrated metabolic cascades. This process activates hydrolytic enzymes that degrade macromolecules into simpler, highly bioavailable forms while simultaneously synthesizing entirely novel secondary metabolites required for plant defense and growth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Fenugreek (</w:t>
      </w:r>
      <w:r w:rsidDel="00000000" w:rsidR="00000000" w:rsidRPr="00000000">
        <w:rPr>
          <w:rFonts w:ascii="Google Sans" w:cs="Google Sans" w:eastAsia="Google Sans" w:hAnsi="Google Sans"/>
          <w:b w:val="1"/>
          <w:bCs w:val="1"/>
          <w:i w:val="1"/>
          <w:iCs w:val="1"/>
          <w:color w:val="1f1f1f"/>
          <w:sz w:val="28"/>
          <w:szCs w:val="28"/>
          <w:rtl w:val="0"/>
        </w:rPr>
        <w:t xml:space="preserve">Trigonella foenum-graecum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Fenugreek is an annual plant in the Fabaceae family whose seeds, and subsequent microgreens, serve as rich repositories of specialized, highly bioactive compounds. These include complex steroidal saponins (most notably diosgenin), potent alkaloids (such as trigonelline), and highly branched, viscous soluble fibers known as galactomannans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cultivation of fenugreek as a microgreen significantly alters its chemical profile compared to the mature seed, yielding a product with vastly enhanced bioavailability.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Metabolomic profiling of fenugreek microgreens utilizing advanced gas chromatography-mass spectrometry (GC-MS) has identified several potent bioactive metabolites, including 1-nonadecene, tetracosane, and eicosane, which correlate strongly with the observed antioxidant capacities of the plant tissues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Extraction optimization studies reveal that methanolic extracts of fenugreek microgreens yield exceptionally high concentrations of flavonoids and tannins, exhibiting remarkable radical scavenging activity against ABTS, DPPH, and hydrogen peroxide molecules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Specifically, research demonstrates that the total antioxidant capacity (TAC) of these extracts can reach up to 90.6%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process of germination itself acts as a profound endogenous bio-elicitor; studies indicate that sprouting fenugreek significantly increases the concentration of alpha-tocopherol (vitamin E) by nearly three-fold and beta-carotene by 55%, while simultaneously enhancing the ratio of polyunsaturated to saturated fatty acids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efficacy of fenugreek is diverse, but it is most highly regarded for its profound anti-hyperglycemic activity. In vitro enzymatic assays demonstrate that specific fenugreek extracts possess the capacity to inhibit the activity of </w:t>
      </w:r>
      <w:r w:rsidDel="00000000" w:rsidR="00000000" w:rsidRPr="00000000">
        <w:rPr>
          <w:rFonts w:ascii="Google Sans" w:cs="Google Sans" w:eastAsia="Google Sans" w:hAnsi="Google Sans"/>
          <w:color w:val="1f1f1f"/>
        </w:rPr>
        <w:drawing>
          <wp:inline distB="19050" distT="19050" distL="19050" distR="19050">
            <wp:extent cx="126147" cy="256236"/>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6147" cy="256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-glucosidase by up to 99% and </w:t>
      </w:r>
      <w:r w:rsidDel="00000000" w:rsidR="00000000" w:rsidRPr="00000000">
        <w:rPr>
          <w:rFonts w:ascii="Google Sans" w:cs="Google Sans" w:eastAsia="Google Sans" w:hAnsi="Google Sans"/>
          <w:color w:val="1f1f1f"/>
        </w:rPr>
        <w:drawing>
          <wp:inline distB="19050" distT="19050" distL="19050" distR="19050">
            <wp:extent cx="126147" cy="256236"/>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6147" cy="256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-amylase by 95%</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massive enzymatic inhibition, coupled with the physical viscosity provided by the galactomannan fibers in the digestive tract, severely delays carbohydrate digestion and attenuates the postprandial spikes in blood glucose that characterize metabolic syndrome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 alkaloid trigonelline has been heavily implicated in the modulation of insulin secretion and the long-term preservation of pancreatic beta-cell function.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metabolic regulation, ethyl acetate extracts of fenugreek microgreens have shown substantial antibacterial potential. Assays measuring the minimum inhibitory concentration (MIC) have demonstrated significant zones of inhibition against dangerous human pathogens, including </w:t>
      </w:r>
      <w:r w:rsidDel="00000000" w:rsidR="00000000" w:rsidRPr="00000000">
        <w:rPr>
          <w:rFonts w:ascii="Google Sans" w:cs="Google Sans" w:eastAsia="Google Sans" w:hAnsi="Google Sans"/>
          <w:i w:val="1"/>
          <w:iCs w:val="1"/>
          <w:color w:val="1f1f1f"/>
          <w:rtl w:val="0"/>
        </w:rPr>
        <w:t xml:space="preserve">Staphylococcus aureus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Pseudomonas aeruginosa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Aeromonas hydrophila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More critically, these extracts demonstrate an antibiofilm inhibition rate exceeding 70% against the tested pathogens. This suggests a sophisticated mechanism by which fenugreek metabolites actively disrupt the quorum-sensing pathways required for bacterial biofilm matrix formation, presenting a novel avenue for combating antibiotic-resistant bacterial strains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Additionally, fenugreek demonstrates systemic hypocholesterolemic effects. The mucilaginous fiber actively binds to bile acids within the intestinal lumen, increasing their fecal excretion. This biological sequestration forces the hepatic synthesis of new bile acids from circulating endogenous cholesterol, thereby lowering systemic serum cholesterol levels over time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Borage (</w:t>
      </w:r>
      <w:r w:rsidDel="00000000" w:rsidR="00000000" w:rsidRPr="00000000">
        <w:rPr>
          <w:rFonts w:ascii="Google Sans" w:cs="Google Sans" w:eastAsia="Google Sans" w:hAnsi="Google Sans"/>
          <w:b w:val="1"/>
          <w:bCs w:val="1"/>
          <w:i w:val="1"/>
          <w:iCs w:val="1"/>
          <w:color w:val="1f1f1f"/>
          <w:sz w:val="28"/>
          <w:szCs w:val="28"/>
          <w:rtl w:val="0"/>
        </w:rPr>
        <w:t xml:space="preserve">Borago officinalis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Borage, historically known as starflower, has been traditionally valued for the extraction of its seed oil. However, the vegetative microgreen tissues offer a vast, complementary array of functional metabolites. The plant is singularly defined by its exceptionally high concentrations of gamma-linolenic acid (GLA, 18:3 </w:t>
      </w:r>
      <w:r w:rsidDel="00000000" w:rsidR="00000000" w:rsidRPr="00000000">
        <w:rPr>
          <w:rFonts w:ascii="Google Sans" w:cs="Google Sans" w:eastAsia="Google Sans" w:hAnsi="Google Sans"/>
          <w:color w:val="1f1f1f"/>
        </w:rPr>
        <w:drawing>
          <wp:inline distB="19050" distT="19050" distL="19050" distR="19050">
            <wp:extent cx="128885" cy="239357"/>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8885" cy="23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-6) and a highly specific profile of phenolic acids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early vegetative growth, borage microgreens synthesize massive levels of rosmarinic acid, a caffeic acid ester globally recognized for its robust antiviral, antibacterial, and anti-inflammatory properties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Optimization studies utilizing response surface methodologies (RSM) indicate that the absolute highest extraction yields of rosmarinic acid and total polyphenols from borage vegetative tissues occur when utilizing a 52% ethanol solvent heated to 75.9°C</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borage remains one of the extremely rare botanical sources of GLA. While GLA is most heavily concentrated in the lipid profile of the seed oil, the vegetative microgreen tissues also maintain physiologically relevant lipid profiles alongside high concentrations of vitamins A and 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It is imperative to note that mature borage plants synthesize secondary metabolites known as pyrrolizidine alkaloids, which are known to be hepatotoxic. However, properly cultivated and early-harvested microgreens naturally minimize this accumulation, and commercial seed lines are increasingly monitored and bred for completely alkaloid-free profiles to ensure ultimate dietary safety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implications of borage consumption are heavily tied to the modulation of lipid metabolism and systemic inflammation. GLA from borage has been extensively studied for its unique capacity to alter lipid storage mechanisms. Groundbreaking research utilizing both the </w:t>
      </w:r>
      <w:r w:rsidDel="00000000" w:rsidR="00000000" w:rsidRPr="00000000">
        <w:rPr>
          <w:rFonts w:ascii="Google Sans" w:cs="Google Sans" w:eastAsia="Google Sans" w:hAnsi="Google Sans"/>
          <w:i w:val="1"/>
          <w:iCs w:val="1"/>
          <w:color w:val="1f1f1f"/>
          <w:rtl w:val="0"/>
        </w:rPr>
        <w:t xml:space="preserve">Caenorhabditis elegans</w:t>
      </w:r>
      <w:r w:rsidDel="00000000" w:rsidR="00000000" w:rsidRPr="00000000">
        <w:rPr>
          <w:rFonts w:ascii="Google Sans" w:cs="Google Sans" w:eastAsia="Google Sans" w:hAnsi="Google Sans"/>
          <w:color w:val="1f1f1f"/>
          <w:rtl w:val="0"/>
        </w:rPr>
        <w:t xml:space="preserve"> nematode model and diet-induced obese mammalian models demonstrated that borage supplementation actively attenuates fat accumulation. The underlying mechanism is fascinating; it involves the targeted activation and massive up-regulation of peroxisomal beta-oxidation pathways, rather than the standard mitochondrial beta-oxidation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mammalian rat models, borage supplementation significantly reduced overall body weight gain, actively prevented white adipose tissue accumulation, and downregulated </w:t>
      </w:r>
      <w:r w:rsidDel="00000000" w:rsidR="00000000" w:rsidRPr="00000000">
        <w:rPr>
          <w:rFonts w:ascii="Google Sans" w:cs="Google Sans" w:eastAsia="Google Sans" w:hAnsi="Google Sans"/>
          <w:i w:val="1"/>
          <w:iCs w:val="1"/>
          <w:color w:val="1f1f1f"/>
          <w:rtl w:val="0"/>
        </w:rPr>
        <w:t xml:space="preserve">Cebpa</w:t>
      </w:r>
      <w:r w:rsidDel="00000000" w:rsidR="00000000" w:rsidRPr="00000000">
        <w:rPr>
          <w:rFonts w:ascii="Google Sans" w:cs="Google Sans" w:eastAsia="Google Sans" w:hAnsi="Google Sans"/>
          <w:color w:val="1f1f1f"/>
          <w:rtl w:val="0"/>
        </w:rPr>
        <w:t xml:space="preserve">—a primary transcription factor responsible for adipogenesis—without altering the subjects' caloric intake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genetic protection, in vivo studies utilizing the </w:t>
      </w:r>
      <w:r w:rsidDel="00000000" w:rsidR="00000000" w:rsidRPr="00000000">
        <w:rPr>
          <w:rFonts w:ascii="Google Sans" w:cs="Google Sans" w:eastAsia="Google Sans" w:hAnsi="Google Sans"/>
          <w:i w:val="1"/>
          <w:iCs w:val="1"/>
          <w:color w:val="1f1f1f"/>
          <w:rtl w:val="0"/>
        </w:rPr>
        <w:t xml:space="preserve">Drosophila melanogaster</w:t>
      </w:r>
      <w:r w:rsidDel="00000000" w:rsidR="00000000" w:rsidRPr="00000000">
        <w:rPr>
          <w:rFonts w:ascii="Google Sans" w:cs="Google Sans" w:eastAsia="Google Sans" w:hAnsi="Google Sans"/>
          <w:color w:val="1f1f1f"/>
          <w:rtl w:val="0"/>
        </w:rPr>
        <w:t xml:space="preserve"> model have proven that borage extracts and GLA exert significant antimutagenic and antigenotoxic effects, actively protecting cellular DNA against severe oxidative damage induced by agents such as hydrogen peroxide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Interestingly, while isolated, pure GLA was shown to slightly decrease the lifespan of </w:t>
      </w:r>
      <w:r w:rsidDel="00000000" w:rsidR="00000000" w:rsidRPr="00000000">
        <w:rPr>
          <w:rFonts w:ascii="Google Sans" w:cs="Google Sans" w:eastAsia="Google Sans" w:hAnsi="Google Sans"/>
          <w:i w:val="1"/>
          <w:iCs w:val="1"/>
          <w:color w:val="1f1f1f"/>
          <w:rtl w:val="0"/>
        </w:rPr>
        <w:t xml:space="preserve">Drosophila</w:t>
      </w:r>
      <w:r w:rsidDel="00000000" w:rsidR="00000000" w:rsidRPr="00000000">
        <w:rPr>
          <w:rFonts w:ascii="Google Sans" w:cs="Google Sans" w:eastAsia="Google Sans" w:hAnsi="Google Sans"/>
          <w:color w:val="1f1f1f"/>
          <w:rtl w:val="0"/>
        </w:rPr>
        <w:t xml:space="preserve">, full-spectrum borage supplementation actively modulated oxidative genetic damage, increased the overall health span of the subjects, and exerted targeted cytotoxic activity against promyelocytic HL60 leukemia cells, demonstrating selective and powerful anticarcinogenic properties inherent to the whole-plant matrix</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while omega-6 fatty acids are generally considered pro-inflammatory precursors to arachidonic acid, GLA represents a unique and critical biochemical divergence. Upon ingestion, GLA is rapidly elongated by cellular enzymes to dihomo-gamma-linolenic acid (DGLA). DGLA directly competes with arachidonic acid for access to the cyclooxygenase (COX) and lipoxygenase (LOX) enzymes. This competition successfully shifts the entire eicosanoid cascade toward the production of anti-inflammatory series-1 prostaglandins (such as PGE1) and away from the highly pro-inflammatory leukotrienes, resolving systemic inflammation at the molecular level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Red Garnet Amaranth (</w:t>
      </w:r>
      <w:r w:rsidDel="00000000" w:rsidR="00000000" w:rsidRPr="00000000">
        <w:rPr>
          <w:rFonts w:ascii="Google Sans" w:cs="Google Sans" w:eastAsia="Google Sans" w:hAnsi="Google Sans"/>
          <w:b w:val="1"/>
          <w:bCs w:val="1"/>
          <w:i w:val="1"/>
          <w:iCs w:val="1"/>
          <w:color w:val="1f1f1f"/>
          <w:sz w:val="28"/>
          <w:szCs w:val="28"/>
          <w:rtl w:val="0"/>
        </w:rPr>
        <w:t xml:space="preserve">Amaranthus spp.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Amaranthus</w:t>
      </w:r>
      <w:r w:rsidDel="00000000" w:rsidR="00000000" w:rsidRPr="00000000">
        <w:rPr>
          <w:rFonts w:ascii="Google Sans" w:cs="Google Sans" w:eastAsia="Google Sans" w:hAnsi="Google Sans"/>
          <w:color w:val="1f1f1f"/>
          <w:rtl w:val="0"/>
        </w:rPr>
        <w:t xml:space="preserve"> genus, formerly a staple pseudocereal of pre-Columbian Mesoamerica, has gained immense traction in controlled environment agriculture due to its exceptional protein quality and entirely unique pigment profile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microgreen stage, particularly in heavily pigmented varieties like Red Garnet (</w:t>
      </w:r>
      <w:r w:rsidDel="00000000" w:rsidR="00000000" w:rsidRPr="00000000">
        <w:rPr>
          <w:rFonts w:ascii="Google Sans" w:cs="Google Sans" w:eastAsia="Google Sans" w:hAnsi="Google Sans"/>
          <w:i w:val="1"/>
          <w:iCs w:val="1"/>
          <w:color w:val="1f1f1f"/>
          <w:rtl w:val="0"/>
        </w:rPr>
        <w:t xml:space="preserve">Amaranthus tricolor</w:t>
      </w:r>
      <w:r w:rsidDel="00000000" w:rsidR="00000000" w:rsidRPr="00000000">
        <w:rPr>
          <w:rFonts w:ascii="Google Sans" w:cs="Google Sans" w:eastAsia="Google Sans" w:hAnsi="Google Sans"/>
          <w:color w:val="1f1f1f"/>
          <w:rtl w:val="0"/>
        </w:rPr>
        <w:t xml:space="preserve">), represents the peak concentration of its most valuable bioactive compounds, making it a highly desirable functional food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incredibly vibrant crimson and magenta hues characteristic of amaranth microgreens are not derived from the standard anthocyanins found in most red vegetables. Rather, they are generated by betalains—specifically, the complex betacyanin pigment known as amaranthin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Betalains are complex, nitrogenous, water-soluble pigments that exhibit extraordinary free radical scavenging efficiency. Unlike many other phytochemicals, the biosynthesis of betalains in amaranth is highly responsive and uniquely tied to abiotic stress. Extensive research indicates that environmental pressures, such as intense ultraviolet light, limited water availability, or extreme temperature fluctuations (such as those experienced at high altitudes), actively stimulate the metabolic accumulation of betalains as an advanced photoprotective and antioxidant evolutionary adaptation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addition to these pigments, amaranth contains notable quantities of squalene. Squalene is a highly unsaturated triterpene that is structurally similar to human lipid secretions and acts as the fundamental biological precursor to all plant and animal sterols, including human cholesterol and steroid hormones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efficacy of amaranth microgreens is largely defined by their protein bioavailability and cardiovascular protection. Amaranth is practically unique among dicotyledonous plants in that its amino acid profile closely mirrors the optimal stoichiometric ratios required by human physiology. It contains exceptionally high levels of lysine and methionine, sulfur-containing amino acids that are classically deficient in conventional cereal grains and legumes, thereby providing a complete protein matrix in a vegetative tissue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synergistic action of amaranthin, specific phenolic acids, and squalene provides profound hypocholesterolemic and anti-inflammatory effects. Squalene acts systemically to protect native cellular lipids from peroxidation, directly mitigating the oxidative modification of LDL particles, which is widely considered a primary catalyst for the development of atherosclerosis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Furthermore, the cultivation of amaranth as a microgreen effectively mitigates the anti-nutritional factors present in the mature plant. Mature amaranth leaves contain high levels of oxalates, phytates, and saponins, which actively chelate vital minerals like calcium and iron in the gut, reducing their intestinal absorption. However, the complex enzymatic cascade initiated during the germination and microgreen phases actively hydrolyzes these anti-nutritional compounds. Specifically, phytase enzymes rapidly degrade phytic acid, releasing bound phosphorus and significantly elevating the biological accessibility and absorption of essential microelements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Chia (</w:t>
      </w:r>
      <w:r w:rsidDel="00000000" w:rsidR="00000000" w:rsidRPr="00000000">
        <w:rPr>
          <w:rFonts w:ascii="Google Sans" w:cs="Google Sans" w:eastAsia="Google Sans" w:hAnsi="Google Sans"/>
          <w:b w:val="1"/>
          <w:bCs w:val="1"/>
          <w:i w:val="1"/>
          <w:iCs w:val="1"/>
          <w:color w:val="1f1f1f"/>
          <w:sz w:val="28"/>
          <w:szCs w:val="28"/>
          <w:rtl w:val="0"/>
        </w:rPr>
        <w:t xml:space="preserve">Salvia hispanica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historically and commercially cultivated almost exclusively for its mature seeds, the integration of </w:t>
      </w:r>
      <w:r w:rsidDel="00000000" w:rsidR="00000000" w:rsidRPr="00000000">
        <w:rPr>
          <w:rFonts w:ascii="Google Sans" w:cs="Google Sans" w:eastAsia="Google Sans" w:hAnsi="Google Sans"/>
          <w:i w:val="1"/>
          <w:iCs w:val="1"/>
          <w:color w:val="1f1f1f"/>
          <w:rtl w:val="0"/>
        </w:rPr>
        <w:t xml:space="preserve">Salvia hispanica</w:t>
      </w:r>
      <w:r w:rsidDel="00000000" w:rsidR="00000000" w:rsidRPr="00000000">
        <w:rPr>
          <w:rFonts w:ascii="Google Sans" w:cs="Google Sans" w:eastAsia="Google Sans" w:hAnsi="Google Sans"/>
          <w:color w:val="1f1f1f"/>
          <w:rtl w:val="0"/>
        </w:rPr>
        <w:t xml:space="preserve"> as a microgreen introduces a highly functional, hydrocolloid-rich vegetative tissue to the modern human diet. Chia microgreens represent a concentrated, bioavailable source of specialized polyunsaturated lipids, highly complex dietary fiber, and protective polyphenols.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Chia is globally recognized as one of the richest botanical sources of alpha-linolenic acid (ALA, 18:3 </w:t>
      </w:r>
      <w:r w:rsidDel="00000000" w:rsidR="00000000" w:rsidRPr="00000000">
        <w:rPr>
          <w:rFonts w:ascii="Google Sans" w:cs="Google Sans" w:eastAsia="Google Sans" w:hAnsi="Google Sans"/>
          <w:color w:val="1f1f1f"/>
        </w:rPr>
        <w:drawing>
          <wp:inline distB="19050" distT="19050" distL="19050" distR="19050">
            <wp:extent cx="128885" cy="239357"/>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8885" cy="23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-3), an essential omega-3 polyunsaturated fatty acid. During the transition from a dormant seed to an active microgreen, the lipid profile undergoes distinct modifications as structural lipids stored in the endosperm are mobilized to form the cellular membranes of the photosynthetic tissues. The microgreen stage synthesizes a broad array of phenolic compounds, predominantly caffeic acid, chlorogenic acid, myricetin, and quercetin, which serve to protect the newly formed tissues from oxidative degradation. Furthermore, chia is fundamentally defined by its prolific generation of mucilage—a highly complex polysaccharide matrix composed primarily of xylose, glucose, and glucuronic acid. This mucilage is rapidly exuded upon the hydration of the seed and persists into the early microgreen stage, serving as a critical moisture reservoir for the developing root system.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efficacy of chia microgreens is heavily dependent upon their cardiovascular and eicosanoid modulation capabilities. The exceptionally high concentration of ALA in chia microgreens provides the necessary physiological substrate for the endogenous synthesis of the longer-chain omega-3 fatty acids, eicosapentaenoic acid (EPA) and docosahexaenoic acid (DHA). The incorporation of ALA into cellular phospholipid membranes directly alters membrane fluidity and receptor function, while simultaneously suppressing the transcription of pro-inflammatory cytokines via the downregulation of nuclear factor kappa B (NF-</w:t>
      </w:r>
      <w:r w:rsidDel="00000000" w:rsidR="00000000" w:rsidRPr="00000000">
        <w:rPr>
          <w:rFonts w:ascii="Google Sans" w:cs="Google Sans" w:eastAsia="Google Sans" w:hAnsi="Google Sans"/>
          <w:color w:val="1f1f1f"/>
        </w:rPr>
        <w:drawing>
          <wp:inline distB="19050" distT="19050" distL="19050" distR="19050">
            <wp:extent cx="112871" cy="244554"/>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B).</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chia microgreens provide unparalleled glycemic index attenuation. The structural mucilage produced by chia seeds is highly resistant to degradation by mammalian digestive enzymes. When consumed as part of a fresh microgreen blend, this viscous soluble fiber forms a thick, aqueous hydrocolloid gel within the stomach and small intestine. This physical barrier severely limits the diffusion rate of digestive enzymes toward carbohydrate substrates and significantly delays the transmucosal absorption of glucose into the bloodstream, thereby lowering the overall glycemic index of the meal and providing sustained metabolic energy. The polyphenolic profile of chia microgreens, particularly the high levels of chlorogenic acid, has also been shown in various metabolic studies to influence hepatic lipid metabolism. Chlorogenic acid upregulates the expression of carnitine palmitoyltransferase-1 (CPT-1), the rate-limiting enzyme in mitochondrial fatty acid beta-oxidation, thereby facilitating the rapid clearance of hepatic triglycerides and combating non-alcoholic fatty liver disease.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Hard Red Winter Wheat (</w:t>
      </w:r>
      <w:r w:rsidDel="00000000" w:rsidR="00000000" w:rsidRPr="00000000">
        <w:rPr>
          <w:rFonts w:ascii="Google Sans" w:cs="Google Sans" w:eastAsia="Google Sans" w:hAnsi="Google Sans"/>
          <w:b w:val="1"/>
          <w:bCs w:val="1"/>
          <w:i w:val="1"/>
          <w:iCs w:val="1"/>
          <w:color w:val="1f1f1f"/>
          <w:sz w:val="28"/>
          <w:szCs w:val="28"/>
          <w:rtl w:val="0"/>
        </w:rPr>
        <w:t xml:space="preserve">Triticum aestivum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Harvested commonly as "wheatgrass" during its early microgreen stage—typically between 7 to 10 days post-germination—</w:t>
      </w:r>
      <w:r w:rsidDel="00000000" w:rsidR="00000000" w:rsidRPr="00000000">
        <w:rPr>
          <w:rFonts w:ascii="Google Sans" w:cs="Google Sans" w:eastAsia="Google Sans" w:hAnsi="Google Sans"/>
          <w:i w:val="1"/>
          <w:iCs w:val="1"/>
          <w:color w:val="1f1f1f"/>
          <w:rtl w:val="0"/>
        </w:rPr>
        <w:t xml:space="preserve">Triticum aestivum</w:t>
      </w:r>
      <w:r w:rsidDel="00000000" w:rsidR="00000000" w:rsidRPr="00000000">
        <w:rPr>
          <w:rFonts w:ascii="Google Sans" w:cs="Google Sans" w:eastAsia="Google Sans" w:hAnsi="Google Sans"/>
          <w:color w:val="1f1f1f"/>
          <w:rtl w:val="0"/>
        </w:rPr>
        <w:t xml:space="preserve"> undergoes a radical transformation. It transitions from a starch-heavy, energy-dense cereal grain into a vegetative tissue overwhelmingly dominated by chlorophyll, active catalytic enzymes, and highly concentrated vitamins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germination of wheat triggers a massive, rapid mobilization of metabolic reserves within the seed. The biosynthesis of specific vitamins during this phase is particularly profound; rigorous research indicates that the germination of </w:t>
      </w:r>
      <w:r w:rsidDel="00000000" w:rsidR="00000000" w:rsidRPr="00000000">
        <w:rPr>
          <w:rFonts w:ascii="Google Sans" w:cs="Google Sans" w:eastAsia="Google Sans" w:hAnsi="Google Sans"/>
          <w:i w:val="1"/>
          <w:iCs w:val="1"/>
          <w:color w:val="1f1f1f"/>
          <w:rtl w:val="0"/>
        </w:rPr>
        <w:t xml:space="preserve">Triticum aestivum</w:t>
      </w:r>
      <w:r w:rsidDel="00000000" w:rsidR="00000000" w:rsidRPr="00000000">
        <w:rPr>
          <w:rFonts w:ascii="Google Sans" w:cs="Google Sans" w:eastAsia="Google Sans" w:hAnsi="Google Sans"/>
          <w:color w:val="1f1f1f"/>
          <w:rtl w:val="0"/>
        </w:rPr>
        <w:t xml:space="preserve"> increases the concentration of vital vitamin E isomers—specifically tocopherols and tocotrienols—by an astounding 5.3 times compared to the dormant, unsprouted seed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Wheat microgreens possess incredibly dense concentrations of chlorophyll A and B, ferulic acid, apigenin, and, most importantly, primary antioxidant enzymes including superoxide dismutase (SOD), cytochrome oxidase, and catalase.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non-enzymatic antioxidants (such as vitamin C, vitamin E, or simple polyphenols) that are stoichiometrically consumed and destroyed in a 1:1 ratio when neutralizing free radicals, the SOD and catalase enzymes present in raw wheat microgreens act as biological catalysts, capable of neutralizing millions of free radicals without being consumed. SOD specifically catalyzes the dismutation of the highly reactive and damaging superoxide radical (</w:t>
      </w:r>
      <w:r w:rsidDel="00000000" w:rsidR="00000000" w:rsidRPr="00000000">
        <w:rPr>
          <w:rFonts w:ascii="Google Sans" w:cs="Google Sans" w:eastAsia="Google Sans" w:hAnsi="Google Sans"/>
          <w:color w:val="1f1f1f"/>
        </w:rPr>
        <w:drawing>
          <wp:inline distB="19050" distT="19050" distL="19050" distR="19050">
            <wp:extent cx="271402" cy="252017"/>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1402" cy="252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ordinary molecular oxygen (</w:t>
      </w:r>
      <w:r w:rsidDel="00000000" w:rsidR="00000000" w:rsidRPr="00000000">
        <w:rPr>
          <w:rFonts w:ascii="Google Sans" w:cs="Google Sans" w:eastAsia="Google Sans" w:hAnsi="Google Sans"/>
          <w:color w:val="1f1f1f"/>
        </w:rPr>
        <w:drawing>
          <wp:inline distB="19050" distT="19050" distL="19050" distR="19050">
            <wp:extent cx="227827" cy="246812"/>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7827" cy="246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hydrogen peroxide (</w:t>
      </w:r>
      <w:r w:rsidDel="00000000" w:rsidR="00000000" w:rsidRPr="00000000">
        <w:rPr>
          <w:rFonts w:ascii="Google Sans" w:cs="Google Sans" w:eastAsia="Google Sans" w:hAnsi="Google Sans"/>
          <w:color w:val="1f1f1f"/>
        </w:rPr>
        <w:drawing>
          <wp:inline distB="19050" distT="19050" distL="19050" distR="19050">
            <wp:extent cx="468987" cy="24987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8987" cy="249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Subsequently, the catalase enzyme rapidly degrades the resulting </w:t>
      </w:r>
      <w:r w:rsidDel="00000000" w:rsidR="00000000" w:rsidRPr="00000000">
        <w:rPr>
          <w:rFonts w:ascii="Google Sans" w:cs="Google Sans" w:eastAsia="Google Sans" w:hAnsi="Google Sans"/>
          <w:color w:val="1f1f1f"/>
        </w:rPr>
        <w:drawing>
          <wp:inline distB="19050" distT="19050" distL="19050" distR="19050">
            <wp:extent cx="468987" cy="24987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8987" cy="249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harmless water and oxygen. The consumption of these intact, active enzymes through cold-pressed juices or fresh microgreen mastication provides a sustained, high-capacity, systemic defense against cellular oxidative stress.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wheat microgreens provide significant hematological and chelating potential. The molecular structure of the chlorophyll molecule is virtually identical to that of the heme molecule found in human hemoglobin, with the singular exception of a central magnesium atom in chlorophyll replacing the iron atom present in heme. While the direct, intact integration of dietary chlorophyll into human hemoglobin is biologically implausible, the metabolic degradation products of chlorophyll (such as chlorophyllin) have been clinically shown to act as highly potent interceptor molecules within the human body. They actively bind to planar, polycyclic aromatic carcinogens within the gastrointestinal tract, forming tight, inert molecular complexes that are safely excreted, thereby preventing the genotoxic absorption of these compounds into the bloodstream. Finally, wheat microgreens exhibit a highly negative potential renal acid load (PRAL). The immense abundance of alkaline minerals—specifically potassium, calcium, and magnesium—assists in buffering physiological pH, reducing the systemic burden on renal acid excretion pathways, and potentially mitigating the chronic bone demineralization frequently associated with highly acidic Western dietary patterns.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Specialty Seed Variety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Bioactive Compounds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Demonstrated Clinical Mechanisms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Pathologies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Fenugreek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Diosgenin, Trigonelline, Galactomannans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Inhibits </w:t>
            </w:r>
            <w:r w:rsidDel="00000000" w:rsidR="00000000" w:rsidRPr="00000000">
              <w:rPr>
                <w:rFonts w:ascii="Google Sans" w:cs="Google Sans" w:eastAsia="Google Sans" w:hAnsi="Google Sans"/>
                <w:color w:val="1f1f1f"/>
              </w:rPr>
              <w:drawing>
                <wp:inline distB="19050" distT="19050" distL="19050" distR="19050">
                  <wp:extent cx="126147" cy="256236"/>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6147" cy="256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-glucosidase (99%); delays carbohydrate absorption; disrupts bacterial biofilm 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Hyperglycemia, hypercholesterolemia, antibiotic-resistant infections.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Gamma-Linolenic Acid (GLA), Rosmarinic Acid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Upregulates peroxisomal beta-oxidation; shifts eicosanoid cascade to anti-inflammatory PGE1; protects DNA.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Obesity, systemic inflammation, cellular genotoxicity.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Amaranth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Amaranthin (Betalains), Squalene, Methionine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Scavenges free radicals; protects LDL particles from oxidation; provides complete amino acid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Atherosclerosis, protein malnutrition, oxidative stress.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Alpha-Linolenic Acid (ALA), Chlorogenic Acid, Mucilage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Forms gastrointestinal hydrocolloid gel; downregulates NF-</w:t>
            </w:r>
            <w:r w:rsidDel="00000000" w:rsidR="00000000" w:rsidRPr="00000000">
              <w:rPr>
                <w:rFonts w:ascii="Google Sans" w:cs="Google Sans" w:eastAsia="Google Sans" w:hAnsi="Google Sans"/>
                <w:color w:val="1f1f1f"/>
              </w:rPr>
              <w:drawing>
                <wp:inline distB="19050" distT="19050" distL="19050" distR="19050">
                  <wp:extent cx="112871" cy="244554"/>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B; upregulates CPT-1 enzyme.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glycemic index, hepatic triglyceride accumulation, inflammation.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Wheat (Hard 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Superoxide Dismutase (SOD), Vitamin E isomers, Chlorophyll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Catalyzes dismutation of superoxide radicals; intercepts planar carcinogens; buffers systemic 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Oxidative cellular damage, toxicogenomic exposure, acidosis.</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Elicitation and Photomorphogenic Cultivation Variables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therapeutic potential and total yield of the aforementioned phytochemicals within these tray blends, cultivators must move beyond simple hydroponics and actively manipulate the physical parameters of the CEA environment. Microgreens are highly responsive to abiotic stimuli, a biological phenomenon known as elicitation. By applying specific, controlled stressors, growers can force the plant to hyper-accumulate desired compounds.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Spectrum Modulation and Photobiology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spectral quality of the light provided dictates not only the physical, morphological development of the microgreen (photomorphogenesis) but also its secondary metabolism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Phytochromes and cryptochromes, the primary photoreceptors within plant tissues, initiate distinct signal transduction pathways depending on the precise ratio of red to blue photons striking the canopy.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light, operating within the 400 to 500 nm wavelength range, primarily activates cryptochromes. The activation of cryptochromes heavily upregulates the phenylpropanoid pathway, the biological engine responsible for the synthesis of complex phenolic compounds. Intensive research demonstrates that increasing the fraction of blue light significantly enhances the accumulation of rosmarinic acid in borage and anthocyanins in Rambo radish, while simultaneously restricting stem elongation, resulting in a denser, more compact microgreen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varieties where the absolute maximization of antioxidants is the primary agronomic goal, an LED light recipe featuring a Red to Blue (R:B) ratio of 1:1 or 2:1 is considered optimal.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red light, operating within the 600 to 700 nm range, acts through the phytochromes to drive primary photosynthesis, rapid biomass accumulation, and cellular elongation. Under dominant red light spectrums (such as an R:B ratio of 5:1 or higher), crops like the black oil sunflower and speckled pea exhibit maximized hypocotyl extension and the highest total fresh and dry biomass yields per square meter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cultivators must be aware that excessive red light can actually dilute the final concentration of secondary metabolites, as the rapid volumetric growth of the plant outpaces the biosynthesis of phytochemicals.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elicitation techniques also include the strategic application of Ultraviolet (UV-C) radiation. Brief, highly controlled, low-dose exposure to UV-C radiation acts as an acute environmental stressor. This specific stress mimics a severe pathogenic attack or intense, damaging solar radiation, prompting the microgreens to dramatically and rapidly increase their synthesis of protective compounds. This includes massive spikes in the production of betalains in amaranth and glucosinolates in broccoli, without causing irreversible photodamage or necrosis to the canopy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Substrate Rheology and Rhizosphere Dynamics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the physical growing medium significantly impacts nutrient uptake, root architecture, and localized water dynamics. While traditional peat moss is frequently used in commercial horticulture, cocopeat (coir) has emerged as the definitively superior substrate for the cultivation of high-density, functional microgreens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Cocopeat provides an optimal, slightly acidic pH range (5.5–7.0) that facilitates maximal nutrient bioavailability, combined with extreme physical porosity (90-95%), and naturally occurring antifungal properties that suppress root pathogens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cultivating complex multi-seed blends, particularly those containing highly mucilaginous seeds like chia or fenugreek, the extreme aeration capacity of cocopeat prevents the root zone from becoming saturated and anaerobic. An oxygen-depleted rhizosphere inevitably leads to the rapid proliferation of </w:t>
      </w:r>
      <w:r w:rsidDel="00000000" w:rsidR="00000000" w:rsidRPr="00000000">
        <w:rPr>
          <w:rFonts w:ascii="Google Sans" w:cs="Google Sans" w:eastAsia="Google Sans" w:hAnsi="Google Sans"/>
          <w:i w:val="1"/>
          <w:iCs w:val="1"/>
          <w:color w:val="1f1f1f"/>
          <w:rtl w:val="0"/>
        </w:rPr>
        <w:t xml:space="preserve">Pythium</w:t>
      </w:r>
      <w:r w:rsidDel="00000000" w:rsidR="00000000" w:rsidRPr="00000000">
        <w:rPr>
          <w:rFonts w:ascii="Google Sans" w:cs="Google Sans" w:eastAsia="Google Sans" w:hAnsi="Google Sans"/>
          <w:color w:val="1f1f1f"/>
          <w:rtl w:val="0"/>
        </w:rPr>
        <w:t xml:space="preserve"> (damping-off disease). By utilizing cocopeat, cultivators can maintain strict microbiological safety standards while simultaneously providing the high moisture levels required to germinate dense legume canopies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Spectral Elicitation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Photoreceptor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Physiological and Morphological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Crop Targets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Blue Fraction (R:B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Cryptochromes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Compact morphology; upregulation of phenylpropanoid pathway; high phenolics.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Borage, Radish, Amaranth, Chia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Red Fraction (R:B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Phytochromes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hypocotyl elongation; massive fresh weight and dry biomass accumulation.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Sunflower, Pea, Lentil, Wheat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Far-Red Supplementation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Phytochrome Reversibility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shade-avoidance elongation; increased leaf area under low total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canopies requiring vertical separation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UV-C Acute Stress Dosing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UVR8 Receptors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spikes in defensive secondary metabolites (glucosinolates, betalains).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Broccoli, Cabbage, Amaranth</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single-variety, soil-based microgreen cultivation to highly engineered, synergistic tray blends cultivated in controlled environments represents a profoundly advanced application of functional agronomy. By precisely mapping the specific growth habits, highly varied canopy architectures, and complex biochemical pathways of species such as broccoli, radish, sunflower, pea, fenugreek, borage, amaranth, cabbage, chia, mung bean, lentil, and wheat, cultivators can synthesize complete biological crops that offer targeted, verifiable physiological benefits.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clinical and phytochemical data strongly supports the therapeutic efficacy of these immature plants. The galactomannans and trigonelline present in fenugreek dynamically modulate glycemic indices and disrupt pathogenic biofilms; the entirely unique gamma-linolenic acid profile of borage drives peroxisomal beta-oxidation to reduce adipogenesis and aggressively resolves systemic inflammation; the highly bioavailable betalains and squalene found in amaranth protect cardiovascular integrity while providing a complete amino acid profile; the mucilage and omega-3 content of chia actively regulates postprandial insulin spikes; and the intense, intact enzymatic and vitamin E profiles of sprouted wheat buffer profound systemic oxidative stress. Through the precise, data-driven manipulation of seeding ratios, photobiology, and substrate dynamics, the controlled environment agriculture facility can be fully utilized to consistently elicit, harvest, and deliver these powerful, life-altering phytochemical matrices directly to the modern human diet.</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Microgreens—A Comprehensive Review of Bioactive Molecules and,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https://pmc.ncbi.nlm.nih.gov/articles/PMC9864543/</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on the rise: Expanding our horizons from farm to fork,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https://pmc.ncbi.nlm.nih.gov/articles/PMC10881865/</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Sprouts and Microgreens—Novel Food Sources for Healthy Diets,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https://pmc.ncbi.nlm.nih.gov/articles/PMC8877763/</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nutritional properties, health benefits, production,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https://pmc.ncbi.nlm.nih.gov/articles/PMC12662059/</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Production: Exploiting Environmental and Cultural,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https://pmc.ncbi.nlm.nih.gov/articles/PMC11435253/</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Post-Harvest UV-C Treatment of Microgreens for Inactivation ... - MDPI, </w:t>
      </w:r>
      <w:hyperlink r:id="rId17">
        <w:r w:rsidDel="00000000" w:rsidR="00000000" w:rsidRPr="00000000">
          <w:rPr>
            <w:rFonts w:ascii="Google Sans" w:cs="Google Sans" w:eastAsia="Google Sans" w:hAnsi="Google Sans"/>
            <w:color w:val="0000ee"/>
            <w:sz w:val="24"/>
            <w:szCs w:val="24"/>
            <w:u w:val="single"/>
            <w:rtl w:val="0"/>
          </w:rPr>
          <w:t xml:space="preserve">https://www.mdpi.com/2304-8158/15/6/974</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Emergence of microgreens as a valuable food, current ... - PMC - NIH,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https://pmc.ncbi.nlm.nih.gov/articles/PMC11225695/</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Cabbage Microgreens Lower Circulating Low-Density, </w:t>
      </w:r>
      <w:hyperlink r:id="rId19">
        <w:r w:rsidDel="00000000" w:rsidR="00000000" w:rsidRPr="00000000">
          <w:rPr>
            <w:rFonts w:ascii="Google Sans" w:cs="Google Sans" w:eastAsia="Google Sans" w:hAnsi="Google Sans"/>
            <w:color w:val="0000ee"/>
            <w:sz w:val="24"/>
            <w:szCs w:val="24"/>
            <w:u w:val="single"/>
            <w:rtl w:val="0"/>
          </w:rPr>
          <w:t xml:space="preserve">https://pubmed.ncbi.nlm.nih.gov/27933986/</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protective effect of red cabbage on water-soluble fractions of,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https://pmc.ncbi.nlm.nih.gov/articles/PMC9972813/</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Sulforaphane as a potential therapeutic agent - PMC - NIH,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https://pmc.ncbi.nlm.nih.gov/articles/PMC12451241/</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or Sulforaphane: Is It the Source or Dose That Matters? - PMC,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https://pmc.ncbi.nlm.nih.gov/articles/PMC6804255/</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Broccoli sprouts: An exceptionally rich source of inducers of, </w:t>
      </w:r>
      <w:hyperlink r:id="rId23">
        <w:r w:rsidDel="00000000" w:rsidR="00000000" w:rsidRPr="00000000">
          <w:rPr>
            <w:rFonts w:ascii="Google Sans" w:cs="Google Sans" w:eastAsia="Google Sans" w:hAnsi="Google Sans"/>
            <w:color w:val="0000ee"/>
            <w:sz w:val="24"/>
            <w:szCs w:val="24"/>
            <w:u w:val="single"/>
            <w:rtl w:val="0"/>
          </w:rPr>
          <w:t xml:space="preserve">https://pure.johnshopkins.edu/en/publications/broccoli-sprouts-an-exceptionally-rich-source-of-inducers-of-enzy-3</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Metabolomics and bioactive attributes of fenugreek microgreens,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https://www.researchgate.net/publication/381002330_Metabolomics_and_bioactive_attributes_of_fenugreek_microgreens_Insights_into_antioxidant_antibacterial_and_antibiofilm_potential</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Bioactive Potential and Health Benefits of Trigonella foenum ... - PMC,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https://pmc.ncbi.nlm.nih.gov/articles/PMC12411738/</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Bioactive Composition and Nutritional Profile of Microgreens ... - MDPI, </w:t>
      </w:r>
      <w:hyperlink r:id="rId26">
        <w:r w:rsidDel="00000000" w:rsidR="00000000" w:rsidRPr="00000000">
          <w:rPr>
            <w:rFonts w:ascii="Google Sans" w:cs="Google Sans" w:eastAsia="Google Sans" w:hAnsi="Google Sans"/>
            <w:color w:val="0000ee"/>
            <w:sz w:val="24"/>
            <w:szCs w:val="24"/>
            <w:u w:val="single"/>
            <w:rtl w:val="0"/>
          </w:rPr>
          <w:t xml:space="preserve">https://www.mdpi.com/2076-3417/11/17/7981</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Antioxidant and Antimicrobial Effects of Baby Leaves of Amaranthus,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https://www.researchgate.net/publication/368079287_Antioxidant_and_Antimicrobial_Effects_of_Baby_Leaves_of_Amaranthus_tricolor_L_Harvested_as_Vegetable_in_Correlation_with_Their_Phytochemical_Composition</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the Therapeutic Potential of Bioactive ... - PMC,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https://pmc.ncbi.nlm.nih.gov/articles/PMC12157067/</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Extraction of Antioxidants from Borage (Borago officinalis L.) Leaves,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https://pmc.ncbi.nlm.nih.gov/articles/PMC4665488/</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Phenolic Profile and Comparison of the Antioxidant, Anti-Ageing,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https://pmc.ncbi.nlm.nih.gov/articles/PMC9865334/</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Red:Blue LED Ratio Modulates Growth and Nutritional Quality of, </w:t>
      </w:r>
      <w:hyperlink r:id="rId31">
        <w:r w:rsidDel="00000000" w:rsidR="00000000" w:rsidRPr="00000000">
          <w:rPr>
            <w:rFonts w:ascii="Google Sans" w:cs="Google Sans" w:eastAsia="Google Sans" w:hAnsi="Google Sans"/>
            <w:color w:val="0000ee"/>
            <w:sz w:val="24"/>
            <w:szCs w:val="24"/>
            <w:u w:val="single"/>
            <w:rtl w:val="0"/>
          </w:rPr>
          <w:t xml:space="preserve">https://www.mdpi.com/2311-7524/12/10/1210</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LED light treatments on the bioactive composition and,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https://pmc.ncbi.nlm.nih.gov/articles/PMC13253669/</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manipulation as a route to enhancement of antioxidant ... - PMC,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https://pmc.ncbi.nlm.nih.gov/articles/PMC11186462/</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Pressurized Liquid Extraction of Bioactive Compounds from Seeds,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https://pmc.ncbi.nlm.nih.gov/articles/PMC12191721/</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Health with Borage Microgreens: A Nutritional Guide, </w:t>
      </w:r>
      <w:hyperlink r:id="rId35">
        <w:r w:rsidDel="00000000" w:rsidR="00000000" w:rsidRPr="00000000">
          <w:rPr>
            <w:rFonts w:ascii="Google Sans" w:cs="Google Sans" w:eastAsia="Google Sans" w:hAnsi="Google Sans"/>
            <w:color w:val="0000ee"/>
            <w:sz w:val="24"/>
            <w:szCs w:val="24"/>
            <w:u w:val="single"/>
            <w:rtl w:val="0"/>
          </w:rPr>
          <w:t xml:space="preserve">https://microgreensworld.com/borage-microgreens-nutrition/</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36">
        <w:r w:rsidDel="00000000" w:rsidR="00000000" w:rsidRPr="00000000">
          <w:rPr>
            <w:rFonts w:ascii="Google Sans" w:cs="Google Sans" w:eastAsia="Google Sans" w:hAnsi="Google Sans"/>
            <w:color w:val="0000ee"/>
            <w:sz w:val="24"/>
            <w:szCs w:val="24"/>
            <w:u w:val="single"/>
            <w:rtl w:val="0"/>
          </w:rPr>
          <w:t xml:space="preserve">https://pubmed.ncbi.nlm.nih.gov/41726547/</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nutritional value of mung bean microgreens compared to,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https://pmc.ncbi.nlm.nih.gov/articles/PMC12919383/</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Borage - PubMed, </w:t>
      </w:r>
      <w:hyperlink r:id="rId38">
        <w:r w:rsidDel="00000000" w:rsidR="00000000" w:rsidRPr="00000000">
          <w:rPr>
            <w:rFonts w:ascii="Google Sans" w:cs="Google Sans" w:eastAsia="Google Sans" w:hAnsi="Google Sans"/>
            <w:color w:val="0000ee"/>
            <w:sz w:val="24"/>
            <w:szCs w:val="24"/>
            <w:u w:val="single"/>
            <w:rtl w:val="0"/>
          </w:rPr>
          <w:t xml:space="preserve">https://pubmed.ncbi.nlm.nih.gov/30000849/</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Borago officinalis seed oil (BSO), a natural source of omega-6 fatty, </w:t>
      </w:r>
      <w:hyperlink r:id="rId39">
        <w:r w:rsidDel="00000000" w:rsidR="00000000" w:rsidRPr="00000000">
          <w:rPr>
            <w:rFonts w:ascii="Google Sans" w:cs="Google Sans" w:eastAsia="Google Sans" w:hAnsi="Google Sans"/>
            <w:color w:val="0000ee"/>
            <w:sz w:val="24"/>
            <w:szCs w:val="24"/>
            <w:u w:val="single"/>
            <w:rtl w:val="0"/>
          </w:rPr>
          <w:t xml:space="preserve">https://pubmed.ncbi.nlm.nih.gov/30043014/</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Protective Effect of Borage Seed Oil and Gamma Linolenic Acid on,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https://pmc.ncbi.nlm.nih.gov/articles/PMC3584109/</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Protective effect of borage seed oil and gamma linolenic acid on DNA, </w:t>
      </w:r>
      <w:hyperlink r:id="rId41">
        <w:r w:rsidDel="00000000" w:rsidR="00000000" w:rsidRPr="00000000">
          <w:rPr>
            <w:rFonts w:ascii="Google Sans" w:cs="Google Sans" w:eastAsia="Google Sans" w:hAnsi="Google Sans"/>
            <w:color w:val="0000ee"/>
            <w:sz w:val="24"/>
            <w:szCs w:val="24"/>
            <w:u w:val="single"/>
            <w:rtl w:val="0"/>
          </w:rPr>
          <w:t xml:space="preserve">https://pubmed.ncbi.nlm.nih.gov/23460824/</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Cancer Prevention and Health Benefices of Traditionally Consumed, </w:t>
      </w:r>
      <w:hyperlink r:id="rId42">
        <w:r w:rsidDel="00000000" w:rsidR="00000000" w:rsidRPr="00000000">
          <w:rPr>
            <w:rFonts w:ascii="Google Sans" w:cs="Google Sans" w:eastAsia="Google Sans" w:hAnsi="Google Sans"/>
            <w:color w:val="0000ee"/>
            <w:sz w:val="24"/>
            <w:szCs w:val="24"/>
            <w:u w:val="single"/>
            <w:rtl w:val="0"/>
          </w:rPr>
          <w:t xml:space="preserve">https://pubmed.ncbi.nlm.nih.gov/26797631/</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protective effects of omega-6 fatty acids in ... - PubMed, </w:t>
      </w:r>
      <w:hyperlink r:id="rId43">
        <w:r w:rsidDel="00000000" w:rsidR="00000000" w:rsidRPr="00000000">
          <w:rPr>
            <w:rFonts w:ascii="Google Sans" w:cs="Google Sans" w:eastAsia="Google Sans" w:hAnsi="Google Sans"/>
            <w:color w:val="0000ee"/>
            <w:sz w:val="24"/>
            <w:szCs w:val="24"/>
            <w:u w:val="single"/>
            <w:rtl w:val="0"/>
          </w:rPr>
          <w:t xml:space="preserve">https://pubmed.ncbi.nlm.nih.gov/11122253/</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Multifunctional Edible Amaranths: A Review of Nutritional Benefits,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https://pmc.ncbi.nlm.nih.gov/articles/PMC12785712/</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Botany, ethnomedicine, phytochemistry and pharmacology of,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https://www.researchgate.net/publication/389401145_Botany_ethnomedicine_phytochemistry_and_pharmacology_of_Amaranthus_spp-_a_review</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amaranth seeds as a source of nutrients and bioactive,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https://www.researchgate.net/publication/348138296_THE_AMARANTH_SEEDS_AS_A_SOURCE_OF_NUTRIENTS_AND_BIOACTIVE_SUBSTANCES_IN_HUMAN_DIET</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light spectrum and intensity to enhance growth and,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https://pmc.ncbi.nlm.nih.gov/articles/PMC12967691/</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LED lighting on the nutritional properties and microbial, </w:t>
      </w:r>
      <w:hyperlink r:id="rId48">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https://www.frontiersin.org/journals/nutrition/articles/10.3389/fnut.2026.1869208/full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Microgreens: Functional Food for Nutrition and Dietary Diversification,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https://pmc.ncbi.nlm.nih.gov/articles/PMC11859409/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3584109/" TargetMode="External"/><Relationship Id="rId42" Type="http://schemas.openxmlformats.org/officeDocument/2006/relationships/hyperlink" Target="https://pubmed.ncbi.nlm.nih.gov/26797631/" TargetMode="External"/><Relationship Id="rId41" Type="http://schemas.openxmlformats.org/officeDocument/2006/relationships/hyperlink" Target="https://pubmed.ncbi.nlm.nih.gov/23460824/" TargetMode="External"/><Relationship Id="rId44" Type="http://schemas.openxmlformats.org/officeDocument/2006/relationships/hyperlink" Target="https://pmc.ncbi.nlm.nih.gov/articles/PMC12785712/" TargetMode="External"/><Relationship Id="rId43" Type="http://schemas.openxmlformats.org/officeDocument/2006/relationships/hyperlink" Target="https://pubmed.ncbi.nlm.nih.gov/11122253/" TargetMode="External"/><Relationship Id="rId46" Type="http://schemas.openxmlformats.org/officeDocument/2006/relationships/hyperlink" Target="https://www.researchgate.net/publication/348138296_THE_AMARANTH_SEEDS_AS_A_SOURCE_OF_NUTRIENTS_AND_BIOACTIVE_SUBSTANCES_IN_HUMAN_DIET" TargetMode="External"/><Relationship Id="rId45" Type="http://schemas.openxmlformats.org/officeDocument/2006/relationships/hyperlink" Target="https://www.researchgate.net/publication/389401145_Botany_ethnomedicine_phytochemistry_and_pharmacology_of_Amaranthus_spp-_a_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frontiersin.org/journals/nutrition/articles/10.3389/fnut.2026.1869208/full" TargetMode="External"/><Relationship Id="rId47" Type="http://schemas.openxmlformats.org/officeDocument/2006/relationships/hyperlink" Target="https://pmc.ncbi.nlm.nih.gov/articles/PMC12967691/" TargetMode="External"/><Relationship Id="rId49" Type="http://schemas.openxmlformats.org/officeDocument/2006/relationships/hyperlink" Target="https://pmc.ncbi.nlm.nih.gov/articles/PMC11859409/"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www.mdpi.com/2311-7524/12/10/1210" TargetMode="External"/><Relationship Id="rId30" Type="http://schemas.openxmlformats.org/officeDocument/2006/relationships/hyperlink" Target="https://pmc.ncbi.nlm.nih.gov/articles/PMC9865334/" TargetMode="External"/><Relationship Id="rId33" Type="http://schemas.openxmlformats.org/officeDocument/2006/relationships/hyperlink" Target="https://pmc.ncbi.nlm.nih.gov/articles/PMC11186462/" TargetMode="External"/><Relationship Id="rId32" Type="http://schemas.openxmlformats.org/officeDocument/2006/relationships/hyperlink" Target="https://pmc.ncbi.nlm.nih.gov/articles/PMC13253669/" TargetMode="External"/><Relationship Id="rId35" Type="http://schemas.openxmlformats.org/officeDocument/2006/relationships/hyperlink" Target="https://microgreensworld.com/borage-microgreens-nutrition/" TargetMode="External"/><Relationship Id="rId34" Type="http://schemas.openxmlformats.org/officeDocument/2006/relationships/hyperlink" Target="https://pmc.ncbi.nlm.nih.gov/articles/PMC12191721/" TargetMode="External"/><Relationship Id="rId37" Type="http://schemas.openxmlformats.org/officeDocument/2006/relationships/hyperlink" Target="https://pmc.ncbi.nlm.nih.gov/articles/PMC12919383/" TargetMode="External"/><Relationship Id="rId36" Type="http://schemas.openxmlformats.org/officeDocument/2006/relationships/hyperlink" Target="https://pubmed.ncbi.nlm.nih.gov/41726547/" TargetMode="External"/><Relationship Id="rId39" Type="http://schemas.openxmlformats.org/officeDocument/2006/relationships/hyperlink" Target="https://pubmed.ncbi.nlm.nih.gov/30043014/" TargetMode="External"/><Relationship Id="rId38" Type="http://schemas.openxmlformats.org/officeDocument/2006/relationships/hyperlink" Target="https://pubmed.ncbi.nlm.nih.gov/30000849/" TargetMode="External"/><Relationship Id="rId20" Type="http://schemas.openxmlformats.org/officeDocument/2006/relationships/hyperlink" Target="https://pmc.ncbi.nlm.nih.gov/articles/PMC9972813/" TargetMode="External"/><Relationship Id="rId22" Type="http://schemas.openxmlformats.org/officeDocument/2006/relationships/hyperlink" Target="https://pmc.ncbi.nlm.nih.gov/articles/PMC6804255/" TargetMode="External"/><Relationship Id="rId21" Type="http://schemas.openxmlformats.org/officeDocument/2006/relationships/hyperlink" Target="https://pmc.ncbi.nlm.nih.gov/articles/PMC12451241/" TargetMode="External"/><Relationship Id="rId24" Type="http://schemas.openxmlformats.org/officeDocument/2006/relationships/hyperlink" Target="https://www.researchgate.net/publication/381002330_Metabolomics_and_bioactive_attributes_of_fenugreek_microgreens_Insights_into_antioxidant_antibacterial_and_antibiofilm_potential" TargetMode="External"/><Relationship Id="rId23" Type="http://schemas.openxmlformats.org/officeDocument/2006/relationships/hyperlink" Target="https://pure.johnshopkins.edu/en/publications/broccoli-sprouts-an-exceptionally-rich-source-of-inducers-of-enzy-3" TargetMode="External"/><Relationship Id="rId26" Type="http://schemas.openxmlformats.org/officeDocument/2006/relationships/hyperlink" Target="https://www.mdpi.com/2076-3417/11/17/7981" TargetMode="External"/><Relationship Id="rId25" Type="http://schemas.openxmlformats.org/officeDocument/2006/relationships/hyperlink" Target="https://pmc.ncbi.nlm.nih.gov/articles/PMC12411738/" TargetMode="External"/><Relationship Id="rId28" Type="http://schemas.openxmlformats.org/officeDocument/2006/relationships/hyperlink" Target="https://pmc.ncbi.nlm.nih.gov/articles/PMC12157067/" TargetMode="External"/><Relationship Id="rId27" Type="http://schemas.openxmlformats.org/officeDocument/2006/relationships/hyperlink" Target="https://www.researchgate.net/publication/368079287_Antioxidant_and_Antimicrobial_Effects_of_Baby_Leaves_of_Amaranthus_tricolor_L_Harvested_as_Vegetable_in_Correlation_with_Their_Phytochemical_Composition" TargetMode="External"/><Relationship Id="rId29" Type="http://schemas.openxmlformats.org/officeDocument/2006/relationships/hyperlink" Target="https://pmc.ncbi.nlm.nih.gov/articles/PMC4665488/" TargetMode="Externa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pmc.ncbi.nlm.nih.gov/articles/PMC10881865/" TargetMode="External"/><Relationship Id="rId12" Type="http://schemas.openxmlformats.org/officeDocument/2006/relationships/hyperlink" Target="https://pmc.ncbi.nlm.nih.gov/articles/PMC9864543/" TargetMode="External"/><Relationship Id="rId15" Type="http://schemas.openxmlformats.org/officeDocument/2006/relationships/hyperlink" Target="https://pmc.ncbi.nlm.nih.gov/articles/PMC12662059/" TargetMode="External"/><Relationship Id="rId14" Type="http://schemas.openxmlformats.org/officeDocument/2006/relationships/hyperlink" Target="https://pmc.ncbi.nlm.nih.gov/articles/PMC8877763/" TargetMode="External"/><Relationship Id="rId17" Type="http://schemas.openxmlformats.org/officeDocument/2006/relationships/hyperlink" Target="https://www.mdpi.com/2304-8158/15/6/974" TargetMode="External"/><Relationship Id="rId16" Type="http://schemas.openxmlformats.org/officeDocument/2006/relationships/hyperlink" Target="https://pmc.ncbi.nlm.nih.gov/articles/PMC11435253/" TargetMode="External"/><Relationship Id="rId19" Type="http://schemas.openxmlformats.org/officeDocument/2006/relationships/hyperlink" Target="https://pubmed.ncbi.nlm.nih.gov/27933986/" TargetMode="External"/><Relationship Id="rId18" Type="http://schemas.openxmlformats.org/officeDocument/2006/relationships/hyperlink" Target="https://pmc.ncbi.nlm.nih.gov/articles/PMC112256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