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Agronomic, Sustainable, and Clinical Dimensions of Hemp Mat Cultivation for Hydroponic Microgreens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Controlled Environment Agriculture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imperative to transition toward sustainable, highly efficient, and resource-conscious agricultural systems has rapidly accelerated the adoption of controlled environment agriculture (CEA) across the globe. Central to this agricultural paradigm is the cultivation of microgreens, which have emerged from their historical status as mere culinary garnishes to become highly sought-after functional foods and nutraceuticals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biochemical composition of these immature plants frequently exhibits phytonutrient concentrations—including essential vitamins, critical minerals, and bioactive antioxidants—ranging from 10 to 40 times higher than their mature vegetative counterparts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CEA methodologies relied heavily on peat moss and traditional soil-based substrates to facilitate germination and early-stage root development. However, escalating environmental concerns regarding the ecological destruction caused by peat extraction, coupled with the phytosanitary risks inherent in soil—namely, the introduction of soil-borne pathogens and pests into otherwise sterile indoor environments—have necessitated a permanent shift toward inert, soilless media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Coconut coir, derived from the mesocarp of the coconut (</w:t>
      </w:r>
      <w:r w:rsidDel="00000000" w:rsidR="00000000" w:rsidRPr="00000000">
        <w:rPr>
          <w:rFonts w:ascii="Google Sans" w:cs="Google Sans" w:eastAsia="Google Sans" w:hAnsi="Google Sans"/>
          <w:i w:val="1"/>
          <w:iCs w:val="1"/>
          <w:color w:val="1f1f1f"/>
          <w:rtl w:val="0"/>
        </w:rPr>
        <w:t xml:space="preserve">Cocos nucifera</w:t>
      </w:r>
      <w:r w:rsidDel="00000000" w:rsidR="00000000" w:rsidRPr="00000000">
        <w:rPr>
          <w:rFonts w:ascii="Google Sans" w:cs="Google Sans" w:eastAsia="Google Sans" w:hAnsi="Google Sans"/>
          <w:color w:val="1f1f1f"/>
          <w:rtl w:val="0"/>
        </w:rPr>
        <w:t xml:space="preserve">), has long dominated this space as an accessible, cost-effective alternative to soil and peat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Yet, the rapid expansion of the indoor farming sector, particularly in climate-stressed regions, has exposed significant logistical, environmental, and agronomic limitations associated with coconut coir.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evaluates the systemic integration of mechanically needle-punched hemp mats (</w:t>
      </w:r>
      <w:r w:rsidDel="00000000" w:rsidR="00000000" w:rsidRPr="00000000">
        <w:rPr>
          <w:rFonts w:ascii="Google Sans" w:cs="Google Sans" w:eastAsia="Google Sans" w:hAnsi="Google Sans"/>
          <w:i w:val="1"/>
          <w:iCs w:val="1"/>
          <w:color w:val="1f1f1f"/>
          <w:rtl w:val="0"/>
        </w:rPr>
        <w:t xml:space="preserve">Cannabis sativa</w:t>
      </w:r>
      <w:r w:rsidDel="00000000" w:rsidR="00000000" w:rsidRPr="00000000">
        <w:rPr>
          <w:rFonts w:ascii="Google Sans" w:cs="Google Sans" w:eastAsia="Google Sans" w:hAnsi="Google Sans"/>
          <w:color w:val="1f1f1f"/>
          <w:rtl w:val="0"/>
        </w:rPr>
        <w:t xml:space="preserve">) as a superior, sustainable substrate alternative to coconut coir. The analysis specifically contextualizes this transition within the environmental and logistical constraints of Austin, Texas—a region characterized by high ambient temperatures, drought conditions, and a rapidly expanding urban footprint. By establishing an entirely soilless system utilizing capillary bottom-watering and precise hydroponic nutrient delivery, producers can optimize both biomass yield and resource conservation. Furthermore, this report bridges the critical gap between agronomic substrate selection and clinical nutrition, demonstrating how optimal cultivation mechanics directly enhance the synthesis of secondary metabolites, thereby maximizing the clinical efficacy of targeted microgreens such as broccoli, red cabbage, borage, and fenugreek in human health applications.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Delineating Microgreens and Sprouts in Urban Agriculture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assessing the substrates upon which they are grown, it is necessary to firmly distinguish microgreens from their botanical predecessors, sprouts. While both represent early developmental stages of plant growth, their cultivation methodologies, anatomical consumption, and nutritional profiles differ substantially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Sprouts represent the earliest stage of seed germination. They are conventionally cultivated in complete darkness or very low light under conditions of extremely high relative humidity, entirely without the need for a growing substrate, soil, or external agrochemicals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entire organism is consumed, encompassing the original seed remnants, the newly formed radicle (root), and the emerging shoot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During the sprouting process, hydrolytic enzymes are activated, which degrade antinutritional factors such as trypsin inhibitors, phytic acid, pentosans, tannins, and cyanides, thereby leading to enhanced palatability, improved bioaccessibility of iron and calcium, and enhanced digestibility of proteins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Microgreens, conversely, are cultivated in light and require a dedicated growing substrate to anchor the developing root system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They are harvested typically between 7 and 21 days post-germination, strictly above the substrate line, meaning only the central stem, the fully expanded cotyledons, and occasionally the first true leaves are consumed; the root mass and seed hull remain in the substrate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extended growth period, combined with active photosynthesis, allows microgreens to synthesize vastly higher concentrations of complex phytochemicals, minerals, and vitamins than both sprouts and fully mature vegetables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example, studies on mung bean (</w:t>
      </w:r>
      <w:r w:rsidDel="00000000" w:rsidR="00000000" w:rsidRPr="00000000">
        <w:rPr>
          <w:rFonts w:ascii="Google Sans" w:cs="Google Sans" w:eastAsia="Google Sans" w:hAnsi="Google Sans"/>
          <w:i w:val="1"/>
          <w:iCs w:val="1"/>
          <w:color w:val="1f1f1f"/>
          <w:rtl w:val="0"/>
        </w:rPr>
        <w:t xml:space="preserve">Vigna radiata</w:t>
      </w:r>
      <w:r w:rsidDel="00000000" w:rsidR="00000000" w:rsidRPr="00000000">
        <w:rPr>
          <w:rFonts w:ascii="Google Sans" w:cs="Google Sans" w:eastAsia="Google Sans" w:hAnsi="Google Sans"/>
          <w:color w:val="1f1f1f"/>
          <w:rtl w:val="0"/>
        </w:rPr>
        <w:t xml:space="preserve">) demonstrate that while microgreens may possess slightly lower gross protein and fat contents than their sprout counterparts, they provide nearly double the dietary fiber, significantly elevated levels of essential minerals (calcium, magnesium, iron, zinc), and vastly superior concentrations of ascorbic acid and total chlorophyll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makes the cultivation of microgreens highly dependent on the quality, structure, and chemical neutrality of the chosen growing medium.</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 Cycle Assessment and Sustainability: Hemp Mats Versus Coconut Coir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comprehensive life cycle assessment of growing media is critical for establishing genuine sustainability in indoor agriculture. The comparative analysis between woven hemp fiber mats and coconut coir reveals stark disparities in supply chain logistics, resource intensity during pre-cultivation processing, and end-of-life disposal.</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Sourcing, Transportation, and Carbon Economics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provenance of the agricultural substrate dictates a substantial portion of the operation's Scope 3 greenhouse gas emissions. Coconut coir is predominantly cultivated and processed in tropical regions, specifically Sri Lanka, India, and other parts of Southeast Asia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a commercial indoor farm operating in North America, importing compressed coir blocks necessitates transoceanic shipping over thousands of kilometers before the material is even introduced into the cultivation cycle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sheer weight and density of these compressed blocks further exacerbate the carbon footprint associated with their transport.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industrial hemp utilized for microgreen mats can be cultivated, harvested, and processed domestically within North America (e.g., Canada and the United States)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localizing the supply chain, hemp mats drastically reduce transportation-associated emissions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Hemp mats are exceptionally lightweight compared to compressed coir, allowing for far greater volumes to be transported per unit of energy expended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the context of a commercial operation in Austin, Texas, sourcing hemp substrates from domestic suppliers shortens the logistical radius, ensuring supply chain resilience against international shipping disruptions while adhering to rigorous corporate carbon-reduction mandates.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Processing, Preparation, and Material Integrity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mechanical and chemical processing required to render a raw material suitable for sensitive seedlings differs immensely between coconut coir and hemp.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coconut coir contains naturally high levels of salts, predominantly sodium and potassium, as well as tannins, which can severely inhibit seed germination and cause acute phytotoxicity. Consequently, raw coir must undergo extensive processing before reaching the grower. Even when purchasing "ready-to-use" compressed coir bricks, growers are frequently subjected to a labor-intensive preparation protocol. The bricks must be manually hydrated, expanded, and often repeatedly rinsed to flush residual salts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coconut coir possesses a high cation exchange capacity (CEC) that naturally binds to calcium and magnesium. If the coir is not adequately buffered by the manufacturer with a calcium-magnesium solution, it will actively strip these essential macronutrients from the hydroponic solution applied by the grower, leading to immediate deficiencies in the developing microgreens. Moreover, the physical consistency and chemical quality of coir fluctuate significantly between suppliers and even between individual bales, introducing an unacceptable variable for commercial growers attempting to standardize yields across hundreds of trays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Hemp fiber mats bypass these resource-intensive preparatory steps entirely. The manufacturing process relies purely on mechanical separation and needle-punching to weave the stalk fibers into a cohesive mat, utilizing zero synthetic binders, glues, or chemical treatments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resulting material is biologically sterile, pH-neutral, and entirely free of salt content, permanently eliminating the need for buffering or flushing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the commercial operator, the workflow is reduced to its absolute minimum: opening the packaging, placing the pre-cut mat directly into a standard 1020 (50 x 24 cm) or 1010 (23 x 23 cm) germination tray, saturating the material, and applying the seed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total elimination of the hydration and washing steps yields massive reductions in facility water consumption and direct labor costs, representing a significant economic advantage for the grower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End-of-Life Disposal and Circular Economy Dynamics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Post-harvest waste management is a critical operational bottleneck in urban farming. Due to the rapid turnover of microgreens (often a 7 to 14-day cycle), an enormous volume of spent substrate is generated. Coconut coir mats frequently utilize synthetic latex or rubber backings to maintain their structural integrity during transit and use, severely compromising their biodegradability and complicating municipal composting efforts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Loose coco coir, while technically compostable, requires physical separation from the root mass and intensive sweeping and cleaning of the facility to remove stray fibers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Hemp mats, composed entirely of natural plant cellulose and lignin, are 100% biodegradable and compostable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Upon harvesting the microgreens, the entire hemp mat—interwoven with the dense, residual root mass—can be transferred directly to a composting facility in one unified piece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mats typically decompose rapidly, within 2 to 6 months, returning vital organic matter to the soil ecosystem and establishing a genuinely circular agricultural system devoid of microplastic waste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Sustainability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Coconut Coir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Hemp Fiber Mats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Geographic Origin / Transport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Southeast Asia; high trans-oceanic carbon footprint.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North America; drastically reduced domestic transit radius.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 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 (compressed blocks retain mass).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Exceptionally lightweight; high shipping efficiency.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Preparation Labor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requires manual hydration, expansion, and potential salt flushing.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pre-cut, ready immediately out of the packaging.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Chemical Treatment &amp; CEC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Often requires buffering with Ca/Mg to balance high cation exchange capacity.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 neutral; mechanical needle-punching, zero chemical binders.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Water Requirement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(for expansion and repetitive rinsing).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(only requires initial operational saturation).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End-of-Life Disposal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Loose fibers require cleanup; mats may contain non-compostable rubber backing.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compostable intact with root mass in 2-6 months.</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Cultivation Mechanics in the Austin, Texas Environment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geographical and climatic realities of Austin, Texas, present specific challenges and opportunities for controlled environment agriculture. The region experiences prolonged periods of extreme summer heat, high ambient humidity outdoors, and frequent drought conditions, rendering traditional outdoor cultivation of fragile microgreens highly inefficient, if not impossible. Consequently, cultivation must be relocated indoors, necessitating highly regulated HVAC (Heating, Ventilation, and Air Conditioning) systems, dehumidifiers, and rigorous water conservation protocols.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Necessity of Soilless Cultivation in Warm Climates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Introducing organic potting soil, peat, or heavily amended compost into an indoor facility in a warm climate like Austin creates an immediate, highly volatile vector for fungal gnats, aphids, and soil-borne pathogens. The ambient warmth of the indoor facility, combined with the moisture required for germination, creates an ideal breeding ground for pests that can decimate an entire crop cycle within days. Therefore, an entirely soilless, inert medium is a fundamental operational imperative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Hemp mats satisfy this requirement perfectly. They offer a sterile, pathogen-free environment at the initiation of the crop cycle. Furthermore, the breathability of hemp fibers, which possess natural antimicrobial and antifungal properties, aids in preventing the anaerobic conditions that invite root rot and subsequent pest infestations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maintaining a pristine indoor environment free from soil-borne vectors, Austin-based producers can dramatically reduce or eliminate the need for chemical pesticides, aligning with consumer demands for clean, safe functional foods.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Capillary Action and the Mechanics of Bottom-Watering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an indoor vertical farm prioritizing water conservation and disease prevention, overhead watering is highly deleterious. Overhead irrigation damages the fragile, newly emerged cotyledons, promotes foliar diseases by keeping the dense canopy saturated, and wastes critical water resources through inefficient evaporation. Bottom-watering—where irrigation fluid is introduced exclusively to the base of the tray and wicked upwards through capillary action into the substrate—is universally recognized as the superior methodology.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Hemp is extraordinarily proficient at capillary water uptake, capable of holding up to 1,050% of its own weight in water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precise water retention capability is directly correlated to the Grams per Square Meter (GSM) density of the mat; for instance, a 400 g/m² mat (0.3 cm thick) offers low retention, a 600 g/m² mat (0.5 cm thick) offers medium retention, and a 1300 g/m² mat (1.0 cm thick) provides high retention, allowing growers to tailor the substrate thickness to the specific water requirements of different crops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most critical agronomic advantage of hemp over coconut coir lies in moisture </w:t>
      </w:r>
      <w:r w:rsidDel="00000000" w:rsidR="00000000" w:rsidRPr="00000000">
        <w:rPr>
          <w:rFonts w:ascii="Google Sans" w:cs="Google Sans" w:eastAsia="Google Sans" w:hAnsi="Google Sans"/>
          <w:i w:val="1"/>
          <w:iCs w:val="1"/>
          <w:color w:val="1f1f1f"/>
          <w:rtl w:val="0"/>
        </w:rPr>
        <w:t xml:space="preserve">distribution</w:t>
      </w:r>
      <w:r w:rsidDel="00000000" w:rsidR="00000000" w:rsidRPr="00000000">
        <w:rPr>
          <w:rFonts w:ascii="Google Sans" w:cs="Google Sans" w:eastAsia="Google Sans" w:hAnsi="Google Sans"/>
          <w:color w:val="1f1f1f"/>
          <w:rtl w:val="0"/>
        </w:rPr>
        <w:t xml:space="preserve">. Hemp holds moisture within the internal cellular structure of the fiber itself rather than pooling it loosely on the surface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bottom-watered, the lower strata of the hemp mat remain saturated and highly available to the descending taproots, while the top surface of the mat remains relatively dry. This dry surface layer acts as an essential physical barrier against damping-off disease (caused by </w:t>
      </w:r>
      <w:r w:rsidDel="00000000" w:rsidR="00000000" w:rsidRPr="00000000">
        <w:rPr>
          <w:rFonts w:ascii="Google Sans" w:cs="Google Sans" w:eastAsia="Google Sans" w:hAnsi="Google Sans"/>
          <w:i w:val="1"/>
          <w:iCs w:val="1"/>
          <w:color w:val="1f1f1f"/>
          <w:rtl w:val="0"/>
        </w:rPr>
        <w:t xml:space="preserve">Pythium</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Rhizoctonia</w:t>
      </w:r>
      <w:r w:rsidDel="00000000" w:rsidR="00000000" w:rsidRPr="00000000">
        <w:rPr>
          <w:rFonts w:ascii="Google Sans" w:cs="Google Sans" w:eastAsia="Google Sans" w:hAnsi="Google Sans"/>
          <w:color w:val="1f1f1f"/>
          <w:rtl w:val="0"/>
        </w:rPr>
        <w:t xml:space="preserve">) and actively inhibits the proliferation of surface mold, which thrives in stagnant, humid environments at the base of the stems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coconut coir mats often demonstrate inferior moisture retention compared to loose coir, requiring more frequent watering interventions, and yet they struggle to maintain an optimal air-to-water ratio at the surface layer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When bottom-watered, coir mats frequently remain overly saturated at the surface, creating an unbroken film of moisture that directly facilitates catastrophic fungal blooms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Hydroponic Nutrient Delivery in Inert Substrates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fundamental principle of utilizing natural fiber mats is recognizing their nutritionally inert status. While seeds contain enough endogenous endosperm energy to power initial germination and radicle emergence, robust vegetative growth through the true-leaf stage requires exogenous nutrition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Coconut coir is similarly deficient, offering only trace amounts of sodium and potassium, which are insufficient to sustain commercial yields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in an Austin-based indoor facility utilizing hemp mats, a full spectrum of macro and micronutrients must be provided directly within the irrigation water. Hydroponic nutrient delivery ensures that specific elemental ratios (nitrogen, phosphorus, potassium, and trace elements like iron, manganese, and magnesium) are immediately bioavailable in the root zone in highly soluble forms. Empirical trials evaluating inert mats grown exclusively with plain water versus those supplied with liquid hydroponic fertilizer universally demonstrate that the application of hydroponic nutrients is absolute necessary to achieve thick canopies, large expanded cotyledons, deep coloration, and commercially viable harvest weights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Because the hemp mat does not possess a high CEC, it does not lock out or bind these applied nutrients, ensuring 100% of the hydroponic investment is delivered directly to the plant root system.</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Agronomic Impact: A Comparative Analysis of Yield and Pathology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viability of transitioning an entire facility from coconut coir to hemp mats ultimately relies on quantifiable agronomic outputs: total biomass accumulation, root zone health, and harvest efficiency.</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Biomass Accumulation and High-Density Performance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margins in urban vertical farming are dictated strictly by yield per square foot. To maximize profitability, growers continually push the limits of seeding density—typically applying 10 to 15 seeds per square inch depending on the mucilaginous nature and size of the seed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High seeding densities place immense biological stress on the substrate; plants must compete aggressively for water, aeration, and physical anchorage within a highly confined area.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case studies comparing coconut coir directly against inert, reusable, and fiber mats under high-density parameters reveal a profound performance gap. In rigorously documented side-by-side trials utilizing black oil sunflower microgreens with a 20% increased seeding density, inert mat systems consistently outperformed coconut coir by massive margins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quantitative data from the trial demonstrated that the two coconut coir trays yielded harvest weights of 624.8 grams and 587.8 grams, respectively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Alarmingly, the second coir tray was deemed entirely unusable due to excessive, aggressive mold development caused by the dense canopy trapping moisture against the wet coir surface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stark contrast, the inert mat equivalents yielded 783.7 grams and 846.2 grams—representing an average yield of 816.95 grams compared to coir's 606.3 grams, a staggering 35% increase in total marketable harvest weight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hemp mat’s superior moisture stratification (a wet bottom and dry top) completely prevented the pathogenic collapse observed in the coir, allowing the hyper-dense canopy to thrive without fungal interference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Substrate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Tray 1 Yield (g)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Tray 2 Yield (g)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Yield (g)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Pathology Observations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Coconut Coir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 mold development; Tray 2 deemed unusable due to fungal collapse.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Inert 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816.95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mold; pristine canopy; 35% higher average yield.</w:t>
            </w:r>
          </w:p>
        </w:tc>
      </w:tr>
    </w:tbl>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Root Architecture and Substrate Penetration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morphological development of the root system dictates the plant's ability to successfully interface with the hydroponic solution. Hemp grow mats are manufactured using a specialized needle-punching technique that creates a deliberately open, porous, three-dimensional structure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a seed germinates on a hemp mat, the emerging radicle easily penetrates the vertical gaps between the fibers, firmly anchoring the seed in place. This prevents smaller seeds from rolling, clumping, or shifting during the physical movement of the trays from germination racks to lighting racks, and ensures immediate, uninterrupted contact with the moisture reservoir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Roots grown in hemp mats heavily resemble those cultivated in a deep-water culture (DWC) or Kratky hydroponic system. Observations note brilliant white, highly elongated, and extensively branched root structures, which are primary indicators of perfect substrate oxygenation and uninhibited nutrient uptake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contrast, tightly woven coconut coir mats often present a physical barrier, forcing the radicle to slide horizontally across the surface before finding penetration points. This leads to weaker anchorage, delayed establishment, and a slight yellowing of the root structure attributed to the tannins in the coir medium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Harvest Efficiency, Fiber Shedding, and Product Cleanliness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integrity of the substrate severely impacts post-harvest processing and product safety. Coconut coir, particularly in loose or lightly pressed mat formats, readily sheds fibers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During harvesting, as knives or automated mechanical harvesters cut the delicate stems just millimeters above the root zone, coir particles frequently adhere to the lower stems or are agitated into the upper canopy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substrate contamination necessitates a subsequent, labor-intensive washing step. Washing microgreens is highly detrimental; it reduces their post-harvest shelf life significantly by introducing external moisture that promotes rot, damages delicate cellular tissues, and drastically increases facility labor costs. Hemp mats maintain immense structural cohesion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When the microgreens are harvested, the cut is pristine. The greens lift away cleanly with absolute zero substrate contamination attached, entirely eliminating the need to wash the product before packaging and distribution to local Austin restaurants or consumer markets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Modulating Phytochemicals via Environmental and Nutritional Controls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agronomic optimization achieved through the synergistic use of hemp mats and hydroponic solutions serves a higher biochemical purpose: maximizing the phytonutrient density of the crop. Microgreens are functional foods, and their biochemical profile can be actively manipulated by the grower. By avoiding the variable mineral profiles and CEC lock-outs of soil or unbuffered coir, growers utilizing inert hemp mats can administer specific abiotic stresses that trigger targeted metabolic pathways within the plant.</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LED Spectral Ratios and Photomorphogenesis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programmable LED lighting within the indoor setup acts synergistically with hydroponic nutrition to alter the biochemical reality of the plant. Research demonstrates that tailoring the daily light integral (DLI) and the precise Red-to-Blue (R:B) spectral ratio profoundly impacts the developmental trajectory and nutritional quality of microgreens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Phytochromes in the plant primarily respond to red and far-red wavelengths (600–750 nm), regulating processes such as seed germination, stem elongation, leaf expansion, and biomass accumulation through a reversible transition between biologically inactive (Pr) and active (Pfr) forms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Conversely, blue radiation triggers cryptochrome pathways that suppress stem elongation (creating a more compact morphology) and heavily upregulate the biosynthesis of secondary metabolites, including phenolic compounds, flavonoids, and antioxidants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Experiments utilizing varied LED treatments under a 14-hour photoperiod with an average photosynthetic photon flux density (PPFD) of 163 μmol m⁻² s⁻¹ reveal species-specific optimizations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Red-dominant spectra (e.g., 100% red) promote early biomass accumulation and yield but result in the lowest antioxidant activity. Blue-dominant spectra (e.g., 100% blue) produce the highest antioxidant activity and total phenolic content but result in the lowest dry biomass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To achieve commercial viability without sacrificing clinical efficacy, intermediate ratios are deployed. For example, an R:B ratio of 5:1 has been shown to optimize the balance between high fresh weight yield and the accumulation of chemopreventive glucosinolates in broccoli microgreens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Furthermore, specific R:B ratios such as 75:25 (red to blue) have been shown to maximize nitrogen and iron concentrations in broccoli, increasing them by 15–20% over monochromatic treatments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Substrate Influence on Mineral Partitioning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substrate itself plays a subtle but critical role in mineral uptake. While hemp is largely inert, its interaction with the hydroponic solution can influence element partitioning. Studies indicate that growing on hemp mats specifically increases potassium concentrations within the tissues of basil and dill microgreens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Alternatively, jute mats have been shown to produce the highest iron (Fe) and manganese (Mn) concentrations in certain species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allows the sophisticated grower to select specific natural fiber mats based on the desired mineral densification goals of the final crop. Furthermore, the deliberate application of nutritional eustress (e.g., elevating the electrical conductivity of the hydroponic solution to induce mild osmotic stress) has been demonstrated to upregulate total ascorbic acid (Vitamin C) content by up to 187% in certain microgreens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inert nature of the hemp mat ensures this precise EC target is met exactly at the root zone without interference.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Efficacy and Pharmacological Profiles of Microgreens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absolute precision afforded by the hemp mat and hydroponic system is only valuable because of the profound pharmacological potential of the microgreens themselves. The clinical efficacy of these highly optimized microgreens is supported by extensive </w:t>
      </w:r>
      <w:r w:rsidDel="00000000" w:rsidR="00000000" w:rsidRPr="00000000">
        <w:rPr>
          <w:rFonts w:ascii="Google Sans" w:cs="Google Sans" w:eastAsia="Google Sans" w:hAnsi="Google Sans"/>
          <w:i w:val="1"/>
          <w:iCs w:val="1"/>
          <w:color w:val="1f1f1f"/>
          <w:rtl w:val="0"/>
        </w:rPr>
        <w:t xml:space="preserve">in vitro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 vivo</w:t>
      </w:r>
      <w:r w:rsidDel="00000000" w:rsidR="00000000" w:rsidRPr="00000000">
        <w:rPr>
          <w:rFonts w:ascii="Google Sans" w:cs="Google Sans" w:eastAsia="Google Sans" w:hAnsi="Google Sans"/>
          <w:color w:val="1f1f1f"/>
          <w:rtl w:val="0"/>
        </w:rPr>
        <w:t xml:space="preserve">, and epidemiological studies, demonstrating robust anti-inflammatory, hypolipidemic, anti-diabetic, and chemopreventive properties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Brassica oleracea (Broccoli): Chemoprotection and the Keap1/Nrf2 Axis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intersection of advanced indoor agronomy and oncology is most profoundly evident in the cultivation of broccoli microgreens and sprouts, which contain glucoraphanin at levels 10 to 100 times higher than mature, fully grown broccoli florets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Glucoraphanin is a biologically inactive glucosinolate derived from the amino acid methionine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Its complex biosynthesis involves a three-stage pathway occurring within the plant: first, the elongation of the methionine side chain by two methylene groups; second, the formation of the core glucosinolate structure; and finally, a secondary modification of the side chain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and therapeutic significance of broccoli microgreens occurs upon human consumption. When the plant tissue is masticated (or mechanically damaged), the inactive glucoraphanin is brought into contact with the endogenous plant enzyme myrosinase. This rapid enzymatic hydrolysis yields sulforaphane (SFN), an extraordinarily potent naturally occurring isothiocyanate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Sulforaphane exerts its profound chemopreventive and therapeutic effects primarily through the Keap1/Nrf2 biological axis. Under normal, unstressed physiological conditions, the critical transcription factor Nrf2 is tethered and sequestered in the cytoplasm by the repressor protein Keap1</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SFN interacts directly with Keap1, altering its structural conformation and releasing the Nrf2 protein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Once liberated, Nrf2 translocates directly to the nucleus, where it binds to Antioxidant Response Elements (AREs). This binding initiates the massive transcription of Phase II detoxification enzymes, such as NAD(P)H quinone oxidoreductase 1 (NQO1) and heme oxygenase-1 (HO-1)</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biological cascade neutralizes dangerous electrophiles, scavenges reactive oxygen species (ROS), and provides immense cytoprotection against chemical carcinogens. Clinical trials evaluating SFN derived from broccoli sprouts have demonstrated clear efficacy in regulating redox pathways, supporting allergic rhinitis therapy, and providing potential vital interventions in early-stage prostate and breast cancers, particularly in GSTM1-positive individuals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Brassica oleracea var. capitata f. rubra (Red Cabbage): Lipid Metabolism and Cardiovascular Protection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 cabbage microgreens represent a powerful dietary intervention for modulating lipid profiles and preventing hypercholesterolemia, which remains a primary biological vector for cardiovascular disease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These microgreens are uniquely rich in anthocyanins, glucosinolates, and specific polyphenolic flavonoids, including gallocatechin, epigallocatechin, and epicatechin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highly controlled rodent diet-induced obesity (DIO) models, animal subjects fed a high-fat diet supplemented with just 1.09% red cabbage microgreens demonstrated highly significant metabolic improvements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microgreen supplementation effectively attenuated the weight gain normally induced by the high-fat diet, and dramatically lowered circulating low-density lipoprotein (LDL) levels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Furthermore, deep hepatic investigations revealed substantially reduced expressions of inflammatory cytokines within the liver, alongside a marked reduction in hepatic cholesterol ester and triacylglycerol levels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hypolipidemic properties of red cabbage microgreens are vastly superior to their mature counterparts. This superiority is largely attributed to the density of cinnamic acids (including gallic, cinnamic, and dicaffeoyl quinnic acids) synthesized during the early seedling stage. These acids act as highly efficient radical scavenging agents, preventing reactive oxygen species from triggering the oxidative events that culminate in atherogenesis (plaque formation in the arteries)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Borago officinalis (Borage): Eicosanoid Modulation and Anti-Inflammatory Pathways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Borage (</w:t>
      </w:r>
      <w:r w:rsidDel="00000000" w:rsidR="00000000" w:rsidRPr="00000000">
        <w:rPr>
          <w:rFonts w:ascii="Google Sans" w:cs="Google Sans" w:eastAsia="Google Sans" w:hAnsi="Google Sans"/>
          <w:i w:val="1"/>
          <w:iCs w:val="1"/>
          <w:color w:val="1f1f1f"/>
          <w:rtl w:val="0"/>
        </w:rPr>
        <w:t xml:space="preserve">Borago officinalis</w:t>
      </w:r>
      <w:r w:rsidDel="00000000" w:rsidR="00000000" w:rsidRPr="00000000">
        <w:rPr>
          <w:rFonts w:ascii="Google Sans" w:cs="Google Sans" w:eastAsia="Google Sans" w:hAnsi="Google Sans"/>
          <w:color w:val="1f1f1f"/>
          <w:rtl w:val="0"/>
        </w:rPr>
        <w:t xml:space="preserve">) microgreens offer a distinct biochemical profile, historically prized in traditional medicine but newly optimized via CEA. They are characterized by their extraordinarily high concentrations of gamma-linolenic acid (GLA, 18:3 ω-6), a vital omega-6 polyunsaturated fatty acid, alongside high levels of rosmarinic acid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While borage seed oil is highly commercialized, the microgreen format provides a fresh, highly palatable, cucumber-flavored delivery mechanism that is simultaneously rich in vitamins A and C, calcium, and iron, and avoids the extreme processing required to extract oils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Clinically, GLA serves as a critical biochemical intermediate in the body's synthesis of anti-inflammatory eicosanoids, specifically prostaglandin E1 and its derivatives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ingestion of borage lipids significantly alters cell membrane fatty acid composition, increasing the presence of dihomo-gamma-linolenic acid and arachidonic acid, which subsequently modulates the immune response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specific mechanism grants borage microgreens potent efficacy in the management and mitigation of chronic inflammatory disorders, such as rheumatoid arthritis and severe atopic dermatitis (eczema)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recent </w:t>
      </w:r>
      <w:r w:rsidDel="00000000" w:rsidR="00000000" w:rsidRPr="00000000">
        <w:rPr>
          <w:rFonts w:ascii="Google Sans" w:cs="Google Sans" w:eastAsia="Google Sans" w:hAnsi="Google Sans"/>
          <w:i w:val="1"/>
          <w:iCs w:val="1"/>
          <w:color w:val="1f1f1f"/>
          <w:rtl w:val="0"/>
        </w:rPr>
        <w:t xml:space="preserve">in vivo</w:t>
      </w:r>
      <w:r w:rsidDel="00000000" w:rsidR="00000000" w:rsidRPr="00000000">
        <w:rPr>
          <w:rFonts w:ascii="Google Sans" w:cs="Google Sans" w:eastAsia="Google Sans" w:hAnsi="Google Sans"/>
          <w:color w:val="1f1f1f"/>
          <w:rtl w:val="0"/>
        </w:rPr>
        <w:t xml:space="preserve"> studies utilizing diet-induced obesity rat models and the nematode </w:t>
      </w:r>
      <w:r w:rsidDel="00000000" w:rsidR="00000000" w:rsidRPr="00000000">
        <w:rPr>
          <w:rFonts w:ascii="Google Sans" w:cs="Google Sans" w:eastAsia="Google Sans" w:hAnsi="Google Sans"/>
          <w:i w:val="1"/>
          <w:iCs w:val="1"/>
          <w:color w:val="1f1f1f"/>
          <w:rtl w:val="0"/>
        </w:rPr>
        <w:t xml:space="preserve">C. elegans</w:t>
      </w:r>
      <w:r w:rsidDel="00000000" w:rsidR="00000000" w:rsidRPr="00000000">
        <w:rPr>
          <w:rFonts w:ascii="Google Sans" w:cs="Google Sans" w:eastAsia="Google Sans" w:hAnsi="Google Sans"/>
          <w:color w:val="1f1f1f"/>
          <w:rtl w:val="0"/>
        </w:rPr>
        <w:t xml:space="preserve"> indicate that the omega-6 fatty acids found in borage aggressively attenuate fat accumulation. Borage supplementation activates peroxisomal beta-oxidation, reducing the accumulation of white adipose tissue, lowering overall energy efficiency, and actively down-regulating adipogenesis-related genes (such as Cebpa), while simultaneously improving insulin resistance and raising beneficial HDL-cholesterol levels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Comprehensive toxicological and genotoxic evaluations confirm that these borage components exhibit strong antimutagenic properties, protecting cellular DNA from oxidative genetic damage without demonstrating in vivo toxicity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Trigonella foenum-graecum (Fenugreek): Glycemic Regulation and Metabolic Syndrome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Fenugreek (</w:t>
      </w:r>
      <w:r w:rsidDel="00000000" w:rsidR="00000000" w:rsidRPr="00000000">
        <w:rPr>
          <w:rFonts w:ascii="Google Sans" w:cs="Google Sans" w:eastAsia="Google Sans" w:hAnsi="Google Sans"/>
          <w:i w:val="1"/>
          <w:iCs w:val="1"/>
          <w:color w:val="1f1f1f"/>
          <w:rtl w:val="0"/>
        </w:rPr>
        <w:t xml:space="preserve">Trigonella foenum-graecum L.</w:t>
      </w:r>
      <w:r w:rsidDel="00000000" w:rsidR="00000000" w:rsidRPr="00000000">
        <w:rPr>
          <w:rFonts w:ascii="Google Sans" w:cs="Google Sans" w:eastAsia="Google Sans" w:hAnsi="Google Sans"/>
          <w:color w:val="1f1f1f"/>
          <w:rtl w:val="0"/>
        </w:rPr>
        <w:t xml:space="preserve">) microgreens are gaining rapid prominence as a formidable botanical intervention for metabolic syndrome and severe glycemic dysregulation. Fenugreek microgreens inherently possess higher phenolic and flavonoid contents compared to their ungerminated seeds, along with vastly enhanced antioxidant capacities (demonstrating immense capability in scavenging ABTS, DPPH, and H2O2 radicals)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Metabolomic profiling via GC-MS and FT-IR spectroscopy of fenugreek extracts reveals a highly dense concentration of bioactive compounds, including saponins, galactomannans, trigonelline, and essential amino acids like 4-hydroxyisoleucine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clinical utility of fenugreek microgreens is most pronounced in their anti-diabetic and anti-hyperglycemic activities. </w:t>
      </w:r>
      <w:r w:rsidDel="00000000" w:rsidR="00000000" w:rsidRPr="00000000">
        <w:rPr>
          <w:rFonts w:ascii="Google Sans" w:cs="Google Sans" w:eastAsia="Google Sans" w:hAnsi="Google Sans"/>
          <w:i w:val="1"/>
          <w:iCs w:val="1"/>
          <w:color w:val="1f1f1f"/>
          <w:rtl w:val="0"/>
        </w:rPr>
        <w:t xml:space="preserve">In vitro</w:t>
      </w:r>
      <w:r w:rsidDel="00000000" w:rsidR="00000000" w:rsidRPr="00000000">
        <w:rPr>
          <w:rFonts w:ascii="Google Sans" w:cs="Google Sans" w:eastAsia="Google Sans" w:hAnsi="Google Sans"/>
          <w:color w:val="1f1f1f"/>
          <w:rtl w:val="0"/>
        </w:rPr>
        <w:t xml:space="preserve"> assays of germinated fenugreek extracts demonstrate a remarkable 99% inhibition of α-glucosidase and a 95% inhibition of α-amylase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By actively inhibiting these primary carbohydrate-digesting enzymes, fenugreek significantly retards the breakdown and absorption of glucose in the human gastrointestinal tract, thereby preventing the postprandial blood sugar spikes that drive type 2 diabetes pathology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the rich mucilaginous fiber and galactomannans present in fenugreek bind directly to bile acids in the gut, lowering intestinal fat absorption and inducing a strong hypocholesterolemic effect</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Beyond metabolic control, fenugreek microgreen extracts exhibit potent antibacterial and antibiofilm activity against dangerous pathogens such as </w:t>
      </w:r>
      <w:r w:rsidDel="00000000" w:rsidR="00000000" w:rsidRPr="00000000">
        <w:rPr>
          <w:rFonts w:ascii="Google Sans" w:cs="Google Sans" w:eastAsia="Google Sans" w:hAnsi="Google Sans"/>
          <w:i w:val="1"/>
          <w:iCs w:val="1"/>
          <w:color w:val="1f1f1f"/>
          <w:rtl w:val="0"/>
        </w:rPr>
        <w:t xml:space="preserve">Aeromonas hydrophila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Pseudomonas aeruginosa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Staphylococcus aureus</w:t>
      </w:r>
      <w:r w:rsidDel="00000000" w:rsidR="00000000" w:rsidRPr="00000000">
        <w:rPr>
          <w:rFonts w:ascii="Google Sans" w:cs="Google Sans" w:eastAsia="Google Sans" w:hAnsi="Google Sans"/>
          <w:color w:val="1f1f1f"/>
          <w:rtl w:val="0"/>
        </w:rPr>
        <w:t xml:space="preserve">, showcasing a percentage inhibition exceeding 70% in targeted studies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Vigna radiata (Mung Bean) and Amaranthus tricolor (Amaranth): Specialized Nutritional Densification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cultivation of non-traditional microgreens on hemp substrates yields further specialized dietary components. Amaranth (</w:t>
      </w:r>
      <w:r w:rsidDel="00000000" w:rsidR="00000000" w:rsidRPr="00000000">
        <w:rPr>
          <w:rFonts w:ascii="Google Sans" w:cs="Google Sans" w:eastAsia="Google Sans" w:hAnsi="Google Sans"/>
          <w:i w:val="1"/>
          <w:iCs w:val="1"/>
          <w:color w:val="1f1f1f"/>
          <w:rtl w:val="0"/>
        </w:rPr>
        <w:t xml:space="preserve">Amaranthus tricolor</w:t>
      </w:r>
      <w:r w:rsidDel="00000000" w:rsidR="00000000" w:rsidRPr="00000000">
        <w:rPr>
          <w:rFonts w:ascii="Google Sans" w:cs="Google Sans" w:eastAsia="Google Sans" w:hAnsi="Google Sans"/>
          <w:color w:val="1f1f1f"/>
          <w:rtl w:val="0"/>
        </w:rPr>
        <w:t xml:space="preserve">) microgreens are visually striking due to their intense accumulation of betalain pigments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Betalains, alongside critical compounds such as squalene and amaranthin, are synthesized by the plant as an adaptive response to environmental stress (such as extreme temperature fluctuations), functioning as highly powerful antioxidants and anti-inflammatory agents within the human body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integration of amaranth into modern diets acts as a buffer against non-communicable diseases by providing high-quality proteins and essential amino acids entirely lacking in standard cereal crops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mung bean (</w:t>
      </w:r>
      <w:r w:rsidDel="00000000" w:rsidR="00000000" w:rsidRPr="00000000">
        <w:rPr>
          <w:rFonts w:ascii="Google Sans" w:cs="Google Sans" w:eastAsia="Google Sans" w:hAnsi="Google Sans"/>
          <w:i w:val="1"/>
          <w:iCs w:val="1"/>
          <w:color w:val="1f1f1f"/>
          <w:rtl w:val="0"/>
        </w:rPr>
        <w:t xml:space="preserve">Vigna radiata</w:t>
      </w:r>
      <w:r w:rsidDel="00000000" w:rsidR="00000000" w:rsidRPr="00000000">
        <w:rPr>
          <w:rFonts w:ascii="Google Sans" w:cs="Google Sans" w:eastAsia="Google Sans" w:hAnsi="Google Sans"/>
          <w:color w:val="1f1f1f"/>
          <w:rtl w:val="0"/>
        </w:rPr>
        <w:t xml:space="preserve">) microgreens represent a massive nutritional upgrade over the historically common mung bean sprout. Rigorous quantitative studies dictate that while mung bean microgreens possess slightly lower gross protein and fat contents than sprouts (due to the exhaustion of seed energy), they provide nearly double the dietary fiber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More critically, the microgreen stage exhibits highly elevated levels of essential minerals (calcium, magnesium, iron, zinc) and a significantly higher concentration of ascorbic acid (110.95 mg/100 g versus 88.88 mg/100 g in sprouts)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Total chlorophyll parameters (chlorophyll a, chlorophyll b, and total chlorophyll) are also vastly superior in the microgreen, indicating enhanced photosynthetic pigment content that correlates directly with increased in vivo antioxidant potential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Microgreen Species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Bioactive Compounds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Clinical Pathway /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Documented Pharmacological Efficacy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Broccoli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Glucoraphanin, Sulforaphane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Keap1 / Nrf2 transcription axis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Induces Phase II detox enzymes (NQO1, HO-1); powerful cancer chemoprevention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 Cabbage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Anthocyanins, Gallocatechin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Lipid metabolism, ROS scavenging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Attenuates weight gain; lowers LDL, hepatic cholesterol, and inflammatory cytokines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Gamma-linolenic acid (GLA)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Prostaglandin E1 synthesis, Peroxisomal beta-oxidation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Potent anti-inflammatory; reduces white adipose tissue; downregulates adipogenesis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Fenugreek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Galactomannans, Saponins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Enzymatic inhibition (α-glucosidase, α-amylase)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Retards glucose absorption; anti-diabetic, anti-hyperglycemic, hypocholesterolemic</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Mung Bean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Ascorbic acid, Dietary fiber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antioxidant scavenging, Mineral bioaccessibility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vitamin C delivery; mineral densification; doubles dietary fiber over sprouts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Amaranth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Betalains, Squalene, Amaranthin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Oxidative stress modulation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High-quality protein delivery; cardiovascular support; systemic anti-inflammatory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of Agronomic Inputs and Clinical Outputs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data unequivocally positions microgreens as potent vectors for preventative medicine and profound dietary intervention. However, the realization of this immense clinical potential is entirely dependent on the underlying agronomic architecture upon which the crops are cultivated. The biochemical density of the plant is a direct reflection of its growing environment.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utilization of hemp fiber mats within an Austin, Texas cultivation facility represents the apex of current microgreen agronomy. By permanently shifting away from the ecologically burdensome, import-dependent, and highly labor-intensive coconut coir, producers adopt a sustainable, domestically sourced material that requires zero preparatory labor and drastically reduces the facility's carbon footprint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Agronomically, the hemp mat operates as the ideal physical and chemical scaffold. Its mechanical needle-punched matrix allows for flawless radicle penetration and robust, highly oxygenated taproot development, perfectly mimicking deep-water hydroponic health without the mechanical complexities of fluid pumps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When paired with efficient capillary bottom-watering, the hemp mat demonstrates a superior moisture stratification—holding vast reserves of nutrient solution internally within its fibers while maintaining a completely dry surface canopy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specific mechanical advantage entirely eliminates the severe mold and pathogenic damping-off outbreaks that frequently plague coconut coir. Consequently, producers can safely increase their seeding densities by up to 20%, achieving staggering biomass yield increases of 35% without the fear of pathogenic crop collapse, while maintaining a pristine, fiber-free harvest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crucially, because the hemp mat is entirely biologically and chemically inert, it acts as a blank canvas for precise hydroponic and environmental manipulation. The roots are not forced to compete with the variable cation exchange capacity of coir, allowing the grower to dictate the exact mineral and nutrient ratios absorbed by the plant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chemical precision, when combined with optimized indoor environmental controls—such as specific red-to-blue LED photoperiods tailored to drive cryptochrome and phytochrome pathways—permits the intentional application of biochemical eustress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highly controlled abiotic stress forces the microgreen to actively upregulate the synthesis of the exact bioactive compounds—sulforaphane, gamma-linolenic acid, anthocyanins, betalains, and ascorbic acid—that are responsible for the profound clinical efficacies detailed extensively in medical literature.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coconut coir to hemp mats is not merely a logistical or financial upgrade; it is a fundamental enhancement of the entire indoor cultivation ecosystem. For controlled environment agriculture in demanding climates like Austin, Texas, the precise integration of soilless hemp mats, targeted hydroponic bottom-watering, and high-density seeding protocols ensures maximized resource efficiency, zero-waste compostability, and robust pathogen defense. Ultimately, this agronomically superior foundation directly translates to massively enhanced secondary metabolite production within the plant tissue, ensuring that the harvested microgreens fully actualize their ultimate potential as clinical-grade functional foods capable of modulating human health at a systemic, biochemical level.</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 on the rise: Expanding our horizons from farm to fork,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https://pmc.ncbi.nlm.nih.gov/articles/PMC10881865/</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 Functional Food for Nutrition and Dietary Diversification,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https://pmc.ncbi.nlm.nih.gov/articles/PMC11859409/</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Bioactive Composition and Nutritional Profile of Microgreens ... - MDPI, </w:t>
      </w:r>
      <w:hyperlink r:id="rId8">
        <w:r w:rsidDel="00000000" w:rsidR="00000000" w:rsidRPr="00000000">
          <w:rPr>
            <w:rFonts w:ascii="Google Sans" w:cs="Google Sans" w:eastAsia="Google Sans" w:hAnsi="Google Sans"/>
            <w:color w:val="0000ee"/>
            <w:sz w:val="24"/>
            <w:szCs w:val="24"/>
            <w:u w:val="single"/>
            <w:rtl w:val="0"/>
          </w:rPr>
          <w:t xml:space="preserve">https://www.mdpi.com/2076-3417/11/17/7981</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Emergence of microgreens as a valuable food, current ... - PMC - NIH,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https://pmc.ncbi.nlm.nih.gov/articles/PMC11225695/</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 Production: Exploiting Environmental and Cultural,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https://pmc.ncbi.nlm.nih.gov/articles/PMC11435253/</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Post-Harvest UV-C Treatment of Microgreens for Inactivation ... - MDPI, </w:t>
      </w:r>
      <w:hyperlink r:id="rId11">
        <w:r w:rsidDel="00000000" w:rsidR="00000000" w:rsidRPr="00000000">
          <w:rPr>
            <w:rFonts w:ascii="Google Sans" w:cs="Google Sans" w:eastAsia="Google Sans" w:hAnsi="Google Sans"/>
            <w:color w:val="0000ee"/>
            <w:sz w:val="24"/>
            <w:szCs w:val="24"/>
            <w:u w:val="single"/>
            <w:rtl w:val="0"/>
          </w:rPr>
          <w:t xml:space="preserve">https://www.mdpi.com/2304-8158/15/6/974</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Best Growing Mediums for Microgreens - HerbSpeak, </w:t>
      </w:r>
      <w:hyperlink r:id="rId12">
        <w:r w:rsidDel="00000000" w:rsidR="00000000" w:rsidRPr="00000000">
          <w:rPr>
            <w:rFonts w:ascii="Google Sans" w:cs="Google Sans" w:eastAsia="Google Sans" w:hAnsi="Google Sans"/>
            <w:color w:val="0000ee"/>
            <w:sz w:val="24"/>
            <w:szCs w:val="24"/>
            <w:u w:val="single"/>
            <w:rtl w:val="0"/>
          </w:rPr>
          <w:t xml:space="preserve">https://herbspeak.com/microgreens-growing-mediums/</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Microgreens—A Comprehensive Review of Bioactive Molecules and,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https://pmc.ncbi.nlm.nih.gov/articles/PMC9864543/</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Sprouts and Microgreens—Novel Food Sources for Healthy Diets,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https://pmc.ncbi.nlm.nih.gov/articles/PMC8877763/</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 nutritional properties, health benefits, production,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https://pmc.ncbi.nlm.nih.gov/articles/PMC12662059/</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nutritional value of mung bean microgreens compared to, </w:t>
      </w:r>
      <w:hyperlink r:id="rId16">
        <w:r w:rsidDel="00000000" w:rsidR="00000000" w:rsidRPr="00000000">
          <w:rPr>
            <w:rFonts w:ascii="Google Sans" w:cs="Google Sans" w:eastAsia="Google Sans" w:hAnsi="Google Sans"/>
            <w:color w:val="0000ee"/>
            <w:sz w:val="24"/>
            <w:szCs w:val="24"/>
            <w:u w:val="single"/>
            <w:rtl w:val="0"/>
          </w:rPr>
          <w:t xml:space="preserve">https://pubmed.ncbi.nlm.nih.gov/41726547/</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nutritional value of mung bean microgreens compared to,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https://pmc.ncbi.nlm.nih.gov/articles/PMC12919383/</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Coco Coir vs Hemp Grow Mats: An Honest Comparison | TerraFibre, </w:t>
      </w:r>
      <w:hyperlink r:id="rId18">
        <w:r w:rsidDel="00000000" w:rsidR="00000000" w:rsidRPr="00000000">
          <w:rPr>
            <w:rFonts w:ascii="Google Sans" w:cs="Google Sans" w:eastAsia="Google Sans" w:hAnsi="Google Sans"/>
            <w:color w:val="0000ee"/>
            <w:sz w:val="24"/>
            <w:szCs w:val="24"/>
            <w:u w:val="single"/>
            <w:rtl w:val="0"/>
          </w:rPr>
          <w:t xml:space="preserve">https://terrafibre.ca/pages/coco-coir-vs-hemp-grow-mats</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Multipurpose Biodegradable Fiber Mats and Mulch Sheets in, </w:t>
      </w:r>
      <w:hyperlink r:id="rId19">
        <w:r w:rsidDel="00000000" w:rsidR="00000000" w:rsidRPr="00000000">
          <w:rPr>
            <w:rFonts w:ascii="Google Sans" w:cs="Google Sans" w:eastAsia="Google Sans" w:hAnsi="Google Sans"/>
            <w:color w:val="0000ee"/>
            <w:sz w:val="24"/>
            <w:szCs w:val="24"/>
            <w:u w:val="single"/>
            <w:rtl w:val="0"/>
          </w:rPr>
          <w:t xml:space="preserve">https://plantarc.com/multipurpose-biodegradable-fiber-mats-and-mulch-sheets-in-agriculture-applications-in-microgreen-production-and-weed-suppression/</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 Growing Mediums: What We Found to be the Best, </w:t>
      </w:r>
      <w:hyperlink r:id="rId20">
        <w:r w:rsidDel="00000000" w:rsidR="00000000" w:rsidRPr="00000000">
          <w:rPr>
            <w:rFonts w:ascii="Google Sans" w:cs="Google Sans" w:eastAsia="Google Sans" w:hAnsi="Google Sans"/>
            <w:color w:val="0000ee"/>
            <w:sz w:val="24"/>
            <w:szCs w:val="24"/>
            <w:u w:val="single"/>
            <w:rtl w:val="0"/>
          </w:rPr>
          <w:t xml:space="preserve">https://homemicrogreens.com/microgreen-growing-mediums-2/</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 Mats — FAQ &amp; Guidance – The Leader in Natural-Fiber, </w:t>
      </w:r>
      <w:hyperlink r:id="rId21">
        <w:r w:rsidDel="00000000" w:rsidR="00000000" w:rsidRPr="00000000">
          <w:rPr>
            <w:rFonts w:ascii="Google Sans" w:cs="Google Sans" w:eastAsia="Google Sans" w:hAnsi="Google Sans"/>
            <w:color w:val="0000ee"/>
            <w:sz w:val="24"/>
            <w:szCs w:val="24"/>
            <w:u w:val="single"/>
            <w:rtl w:val="0"/>
          </w:rPr>
          <w:t xml:space="preserve">https://microgreen-mats.com/microgreen-mats-faq-guidance/</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Growing Mats for Microgreens: A Handy Comparison, </w:t>
      </w:r>
      <w:hyperlink r:id="rId22">
        <w:r w:rsidDel="00000000" w:rsidR="00000000" w:rsidRPr="00000000">
          <w:rPr>
            <w:rFonts w:ascii="Google Sans" w:cs="Google Sans" w:eastAsia="Google Sans" w:hAnsi="Google Sans"/>
            <w:color w:val="0000ee"/>
            <w:sz w:val="24"/>
            <w:szCs w:val="24"/>
            <w:u w:val="single"/>
            <w:rtl w:val="0"/>
          </w:rPr>
          <w:t xml:space="preserve">https://rusticwise.com/best-growing-mats-for-microgreens/</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Biodegradable Grow Mats for Microgreens: A Complete Guide to, </w:t>
      </w:r>
      <w:hyperlink r:id="rId23">
        <w:r w:rsidDel="00000000" w:rsidR="00000000" w:rsidRPr="00000000">
          <w:rPr>
            <w:rFonts w:ascii="Google Sans" w:cs="Google Sans" w:eastAsia="Google Sans" w:hAnsi="Google Sans"/>
            <w:color w:val="0000ee"/>
            <w:sz w:val="24"/>
            <w:szCs w:val="24"/>
            <w:u w:val="single"/>
            <w:rtl w:val="0"/>
          </w:rPr>
          <w:t xml:space="preserve">https://microgreensworld.com/biodegradable-grow-mats-for-microgreens/</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Coco Coir vs. Reusable Grow Medium: 35% Yield Test | On The Grow, </w:t>
      </w:r>
      <w:hyperlink r:id="rId24">
        <w:r w:rsidDel="00000000" w:rsidR="00000000" w:rsidRPr="00000000">
          <w:rPr>
            <w:rFonts w:ascii="Google Sans" w:cs="Google Sans" w:eastAsia="Google Sans" w:hAnsi="Google Sans"/>
            <w:color w:val="0000ee"/>
            <w:sz w:val="24"/>
            <w:szCs w:val="24"/>
            <w:u w:val="single"/>
            <w:rtl w:val="0"/>
          </w:rPr>
          <w:t xml:space="preserve">https://onthegrow.net/blogs/microgreens/case-study-coco-coir-vs-reusable-microgreen-grow-medium-high-seeding-density</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Hemp fiber mats, coco coir and nutrients - YouTube, </w:t>
      </w:r>
      <w:hyperlink r:id="rId25">
        <w:r w:rsidDel="00000000" w:rsidR="00000000" w:rsidRPr="00000000">
          <w:rPr>
            <w:rFonts w:ascii="Google Sans" w:cs="Google Sans" w:eastAsia="Google Sans" w:hAnsi="Google Sans"/>
            <w:color w:val="0000ee"/>
            <w:sz w:val="24"/>
            <w:szCs w:val="24"/>
            <w:u w:val="single"/>
            <w:rtl w:val="0"/>
          </w:rPr>
          <w:t xml:space="preserve">https://www.youtube.com/watch?v=FXBUp7J-mYo</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Hemp Grow Pads Vs Coco Coir Mats for Clean Indoor Microgreens, </w:t>
      </w:r>
      <w:hyperlink r:id="rId26">
        <w:r w:rsidDel="00000000" w:rsidR="00000000" w:rsidRPr="00000000">
          <w:rPr>
            <w:rFonts w:ascii="Google Sans" w:cs="Google Sans" w:eastAsia="Google Sans" w:hAnsi="Google Sans"/>
            <w:color w:val="0000ee"/>
            <w:sz w:val="24"/>
            <w:szCs w:val="24"/>
            <w:u w:val="single"/>
            <w:rtl w:val="0"/>
          </w:rPr>
          <w:t xml:space="preserve">https://indoorleafgrow.com/hemp-grow-pads-vs-coco-coir-mats-for-clean-indoor-microgreens/</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Red:Blue LED Ratio Modulates Growth and Nutritional Quality of, </w:t>
      </w:r>
      <w:hyperlink r:id="rId27">
        <w:r w:rsidDel="00000000" w:rsidR="00000000" w:rsidRPr="00000000">
          <w:rPr>
            <w:rFonts w:ascii="Google Sans" w:cs="Google Sans" w:eastAsia="Google Sans" w:hAnsi="Google Sans"/>
            <w:color w:val="0000ee"/>
            <w:sz w:val="24"/>
            <w:szCs w:val="24"/>
            <w:u w:val="single"/>
            <w:rtl w:val="0"/>
          </w:rPr>
          <w:t xml:space="preserve">https://www.mdpi.com/2311-7524/12/10/1210</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Optimization of light spectrum and intensity to enhance growth and,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https://pmc.ncbi.nlm.nih.gov/articles/PMC12967691/</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LED light treatments on the bioactive composition and,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https://pmc.ncbi.nlm.nih.gov/articles/PMC13253669/</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Hydroponic Fiber Mats Altered Shoot Growth and Mineral Nutrient, </w:t>
      </w:r>
      <w:hyperlink r:id="rId30">
        <w:r w:rsidDel="00000000" w:rsidR="00000000" w:rsidRPr="00000000">
          <w:rPr>
            <w:rFonts w:ascii="Google Sans" w:cs="Google Sans" w:eastAsia="Google Sans" w:hAnsi="Google Sans"/>
            <w:color w:val="0000ee"/>
            <w:sz w:val="24"/>
            <w:szCs w:val="24"/>
            <w:u w:val="single"/>
            <w:rtl w:val="0"/>
          </w:rPr>
          <w:t xml:space="preserve">https://www.mdpi.com/2311-7524/10/12/1298</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Broccoli sprouts: An exceptionally rich source of inducers of, </w:t>
      </w:r>
      <w:hyperlink r:id="rId31">
        <w:r w:rsidDel="00000000" w:rsidR="00000000" w:rsidRPr="00000000">
          <w:rPr>
            <w:rFonts w:ascii="Google Sans" w:cs="Google Sans" w:eastAsia="Google Sans" w:hAnsi="Google Sans"/>
            <w:color w:val="0000ee"/>
            <w:sz w:val="24"/>
            <w:szCs w:val="24"/>
            <w:u w:val="single"/>
            <w:rtl w:val="0"/>
          </w:rPr>
          <w:t xml:space="preserve">https://pure.johnshopkins.edu/en/publications/broccoli-sprouts-an-exceptionally-rich-source-of-inducers-of-enzy-3</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Broccoli or Sulforaphane: Is It the Source or Dose That Matters? - PMC,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https://pmc.ncbi.nlm.nih.gov/articles/PMC6804255/</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Sulforaphane as a potential therapeutic agent - PMC - NIH,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https://pmc.ncbi.nlm.nih.gov/articles/PMC12451241/</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Cabbage Microgreens Lower Circulating Low-Density, </w:t>
      </w:r>
      <w:hyperlink r:id="rId34">
        <w:r w:rsidDel="00000000" w:rsidR="00000000" w:rsidRPr="00000000">
          <w:rPr>
            <w:rFonts w:ascii="Google Sans" w:cs="Google Sans" w:eastAsia="Google Sans" w:hAnsi="Google Sans"/>
            <w:color w:val="0000ee"/>
            <w:sz w:val="24"/>
            <w:szCs w:val="24"/>
            <w:u w:val="single"/>
            <w:rtl w:val="0"/>
          </w:rPr>
          <w:t xml:space="preserve">https://pubmed.ncbi.nlm.nih.gov/27933986/</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protective effect of red cabbage on water-soluble fractions of,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https://pmc.ncbi.nlm.nih.gov/articles/PMC9972813/</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Borage - PubMed, </w:t>
      </w:r>
      <w:hyperlink r:id="rId36">
        <w:r w:rsidDel="00000000" w:rsidR="00000000" w:rsidRPr="00000000">
          <w:rPr>
            <w:rFonts w:ascii="Google Sans" w:cs="Google Sans" w:eastAsia="Google Sans" w:hAnsi="Google Sans"/>
            <w:color w:val="0000ee"/>
            <w:sz w:val="24"/>
            <w:szCs w:val="24"/>
            <w:u w:val="single"/>
            <w:rtl w:val="0"/>
          </w:rPr>
          <w:t xml:space="preserve">https://pubmed.ncbi.nlm.nih.gov/30000849/</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Protective Effect of Borage Seed Oil and Gamma Linolenic Acid on,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https://pmc.ncbi.nlm.nih.gov/articles/PMC3584109/</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Extraction of Antioxidants from Borage (Borago officinalis L.) Leaves,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https://pmc.ncbi.nlm.nih.gov/articles/PMC4665488/</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 Your Health with Borage Microgreens: A Nutritional Guide, </w:t>
      </w:r>
      <w:hyperlink r:id="rId39">
        <w:r w:rsidDel="00000000" w:rsidR="00000000" w:rsidRPr="00000000">
          <w:rPr>
            <w:rFonts w:ascii="Google Sans" w:cs="Google Sans" w:eastAsia="Google Sans" w:hAnsi="Google Sans"/>
            <w:color w:val="0000ee"/>
            <w:sz w:val="24"/>
            <w:szCs w:val="24"/>
            <w:u w:val="single"/>
            <w:rtl w:val="0"/>
          </w:rPr>
          <w:t xml:space="preserve">https://microgreensworld.com/borage-microgreens-nutrition/</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protective effects of omega-6 fatty acids in ... - PubMed, </w:t>
      </w:r>
      <w:hyperlink r:id="rId40">
        <w:r w:rsidDel="00000000" w:rsidR="00000000" w:rsidRPr="00000000">
          <w:rPr>
            <w:rFonts w:ascii="Google Sans" w:cs="Google Sans" w:eastAsia="Google Sans" w:hAnsi="Google Sans"/>
            <w:color w:val="0000ee"/>
            <w:sz w:val="24"/>
            <w:szCs w:val="24"/>
            <w:u w:val="single"/>
            <w:rtl w:val="0"/>
          </w:rPr>
          <w:t xml:space="preserve">https://pubmed.ncbi.nlm.nih.gov/11122253/</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Borago officinalis seed oil (BSO), a natural source of omega-6 fatty, </w:t>
      </w:r>
      <w:hyperlink r:id="rId41">
        <w:r w:rsidDel="00000000" w:rsidR="00000000" w:rsidRPr="00000000">
          <w:rPr>
            <w:rFonts w:ascii="Google Sans" w:cs="Google Sans" w:eastAsia="Google Sans" w:hAnsi="Google Sans"/>
            <w:color w:val="0000ee"/>
            <w:sz w:val="24"/>
            <w:szCs w:val="24"/>
            <w:u w:val="single"/>
            <w:rtl w:val="0"/>
          </w:rPr>
          <w:t xml:space="preserve">https://pubmed.ncbi.nlm.nih.gov/30043014/</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Protective effect of borage seed oil and gamma linolenic acid on DNA, </w:t>
      </w:r>
      <w:hyperlink r:id="rId42">
        <w:r w:rsidDel="00000000" w:rsidR="00000000" w:rsidRPr="00000000">
          <w:rPr>
            <w:rFonts w:ascii="Google Sans" w:cs="Google Sans" w:eastAsia="Google Sans" w:hAnsi="Google Sans"/>
            <w:color w:val="0000ee"/>
            <w:sz w:val="24"/>
            <w:szCs w:val="24"/>
            <w:u w:val="single"/>
            <w:rtl w:val="0"/>
          </w:rPr>
          <w:t xml:space="preserve">https://pubmed.ncbi.nlm.nih.gov/23460824/</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Cancer Prevention and Health Benefices of Traditionally Consumed, </w:t>
      </w:r>
      <w:hyperlink r:id="rId43">
        <w:r w:rsidDel="00000000" w:rsidR="00000000" w:rsidRPr="00000000">
          <w:rPr>
            <w:rFonts w:ascii="Google Sans" w:cs="Google Sans" w:eastAsia="Google Sans" w:hAnsi="Google Sans"/>
            <w:color w:val="0000ee"/>
            <w:sz w:val="24"/>
            <w:szCs w:val="24"/>
            <w:u w:val="single"/>
            <w:rtl w:val="0"/>
          </w:rPr>
          <w:t xml:space="preserve">https://pubmed.ncbi.nlm.nih.gov/26797631/</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Metabolomics and bioactive attributes of fenugreek microgreens,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https://www.researchgate.net/publication/381002330_Metabolomics_and_bioactive_attributes_of_fenugreek_microgreens_Insights_into_antioxidant_antibacterial_and_antibiofilm_potential</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Bioactive Potential and Health Benefits of Trigonella foenum ... - PMC,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https://pmc.ncbi.nlm.nih.gov/articles/PMC12411738/</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Pressurized Liquid Extraction of Bioactive Compounds from Seeds,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https://pmc.ncbi.nlm.nih.gov/articles/PMC12191721/</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Antioxidant and Antimicrobial Effects of Baby Leaves of Amaranthus,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https://www.researchgate.net/publication/368079287_Antioxidant_and_Antimicrobial_Effects_of_Baby_Leaves_of_Amaranthus_tricolor_L_Harvested_as_Vegetable_in_Correlation_with_Their_Phytochemical_Composition</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Multifunctional Edible Amaranths: A Review of Nutritional Benefits,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https://pmc.ncbi.nlm.nih.gov/articles/PMC12785712/</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Advances in the Therapeutic Potential of Bioactive ... - PMC,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https://pmc.ncbi.nlm.nih.gov/articles/PMC12157067/</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amaranth seeds as a source of nutrients and bioactive, </w:t>
      </w:r>
      <w:hyperlink r:id="rId50">
        <w:r w:rsidDel="00000000" w:rsidR="00000000" w:rsidRPr="00000000">
          <w:rPr>
            <w:rFonts w:ascii="Google Sans" w:cs="Google Sans" w:eastAsia="Google Sans" w:hAnsi="Google Sans"/>
            <w:color w:val="0000ee"/>
            <w:sz w:val="24"/>
            <w:szCs w:val="24"/>
            <w:u w:val="single"/>
            <w:rtl w:val="0"/>
          </w:rPr>
          <w:t xml:space="preserve">https://www.researchgate.net/publication/348138296_THE_AMARANTH_SEEDS_AS_A_SOURCE_OF_NUTRIENTS_AND_BIOACTIVE_SUBSTANCES_IN_HUMAN_DIET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bmed.ncbi.nlm.nih.gov/11122253/" TargetMode="External"/><Relationship Id="rId42" Type="http://schemas.openxmlformats.org/officeDocument/2006/relationships/hyperlink" Target="https://pubmed.ncbi.nlm.nih.gov/23460824/" TargetMode="External"/><Relationship Id="rId41" Type="http://schemas.openxmlformats.org/officeDocument/2006/relationships/hyperlink" Target="https://pubmed.ncbi.nlm.nih.gov/30043014/" TargetMode="External"/><Relationship Id="rId44" Type="http://schemas.openxmlformats.org/officeDocument/2006/relationships/hyperlink" Target="https://www.researchgate.net/publication/381002330_Metabolomics_and_bioactive_attributes_of_fenugreek_microgreens_Insights_into_antioxidant_antibacterial_and_antibiofilm_potential" TargetMode="External"/><Relationship Id="rId43" Type="http://schemas.openxmlformats.org/officeDocument/2006/relationships/hyperlink" Target="https://pubmed.ncbi.nlm.nih.gov/26797631/" TargetMode="External"/><Relationship Id="rId46" Type="http://schemas.openxmlformats.org/officeDocument/2006/relationships/hyperlink" Target="https://pmc.ncbi.nlm.nih.gov/articles/PMC12191721/" TargetMode="External"/><Relationship Id="rId45" Type="http://schemas.openxmlformats.org/officeDocument/2006/relationships/hyperlink" Target="https://pmc.ncbi.nlm.nih.gov/articles/PMC124117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11225695/" TargetMode="External"/><Relationship Id="rId48" Type="http://schemas.openxmlformats.org/officeDocument/2006/relationships/hyperlink" Target="https://pmc.ncbi.nlm.nih.gov/articles/PMC12785712/" TargetMode="External"/><Relationship Id="rId47" Type="http://schemas.openxmlformats.org/officeDocument/2006/relationships/hyperlink" Target="https://www.researchgate.net/publication/368079287_Antioxidant_and_Antimicrobial_Effects_of_Baby_Leaves_of_Amaranthus_tricolor_L_Harvested_as_Vegetable_in_Correlation_with_Their_Phytochemical_Composition" TargetMode="External"/><Relationship Id="rId49" Type="http://schemas.openxmlformats.org/officeDocument/2006/relationships/hyperlink" Target="https://pmc.ncbi.nlm.nih.gov/articles/PMC12157067/" TargetMode="External"/><Relationship Id="rId5" Type="http://schemas.openxmlformats.org/officeDocument/2006/relationships/styles" Target="styles.xml"/><Relationship Id="rId6" Type="http://schemas.openxmlformats.org/officeDocument/2006/relationships/hyperlink" Target="https://pmc.ncbi.nlm.nih.gov/articles/PMC10881865/" TargetMode="External"/><Relationship Id="rId7" Type="http://schemas.openxmlformats.org/officeDocument/2006/relationships/hyperlink" Target="https://pmc.ncbi.nlm.nih.gov/articles/PMC11859409/" TargetMode="External"/><Relationship Id="rId8" Type="http://schemas.openxmlformats.org/officeDocument/2006/relationships/hyperlink" Target="https://www.mdpi.com/2076-3417/11/17/7981" TargetMode="External"/><Relationship Id="rId31" Type="http://schemas.openxmlformats.org/officeDocument/2006/relationships/hyperlink" Target="https://pure.johnshopkins.edu/en/publications/broccoli-sprouts-an-exceptionally-rich-source-of-inducers-of-enzy-3" TargetMode="External"/><Relationship Id="rId30" Type="http://schemas.openxmlformats.org/officeDocument/2006/relationships/hyperlink" Target="https://www.mdpi.com/2311-7524/10/12/1298" TargetMode="External"/><Relationship Id="rId33" Type="http://schemas.openxmlformats.org/officeDocument/2006/relationships/hyperlink" Target="https://pmc.ncbi.nlm.nih.gov/articles/PMC12451241/" TargetMode="External"/><Relationship Id="rId32" Type="http://schemas.openxmlformats.org/officeDocument/2006/relationships/hyperlink" Target="https://pmc.ncbi.nlm.nih.gov/articles/PMC6804255/" TargetMode="External"/><Relationship Id="rId35" Type="http://schemas.openxmlformats.org/officeDocument/2006/relationships/hyperlink" Target="https://pmc.ncbi.nlm.nih.gov/articles/PMC9972813/" TargetMode="External"/><Relationship Id="rId34" Type="http://schemas.openxmlformats.org/officeDocument/2006/relationships/hyperlink" Target="https://pubmed.ncbi.nlm.nih.gov/27933986/" TargetMode="External"/><Relationship Id="rId37" Type="http://schemas.openxmlformats.org/officeDocument/2006/relationships/hyperlink" Target="https://pmc.ncbi.nlm.nih.gov/articles/PMC3584109/" TargetMode="External"/><Relationship Id="rId36" Type="http://schemas.openxmlformats.org/officeDocument/2006/relationships/hyperlink" Target="https://pubmed.ncbi.nlm.nih.gov/30000849/" TargetMode="External"/><Relationship Id="rId39" Type="http://schemas.openxmlformats.org/officeDocument/2006/relationships/hyperlink" Target="https://microgreensworld.com/borage-microgreens-nutrition/" TargetMode="External"/><Relationship Id="rId38" Type="http://schemas.openxmlformats.org/officeDocument/2006/relationships/hyperlink" Target="https://pmc.ncbi.nlm.nih.gov/articles/PMC4665488/" TargetMode="External"/><Relationship Id="rId20" Type="http://schemas.openxmlformats.org/officeDocument/2006/relationships/hyperlink" Target="https://homemicrogreens.com/microgreen-growing-mediums-2/" TargetMode="External"/><Relationship Id="rId22" Type="http://schemas.openxmlformats.org/officeDocument/2006/relationships/hyperlink" Target="https://rusticwise.com/best-growing-mats-for-microgreens/" TargetMode="External"/><Relationship Id="rId21" Type="http://schemas.openxmlformats.org/officeDocument/2006/relationships/hyperlink" Target="https://microgreen-mats.com/microgreen-mats-faq-guidance/" TargetMode="External"/><Relationship Id="rId24" Type="http://schemas.openxmlformats.org/officeDocument/2006/relationships/hyperlink" Target="https://onthegrow.net/blogs/microgreens/case-study-coco-coir-vs-reusable-microgreen-grow-medium-high-seeding-density" TargetMode="External"/><Relationship Id="rId23" Type="http://schemas.openxmlformats.org/officeDocument/2006/relationships/hyperlink" Target="https://microgreensworld.com/biodegradable-grow-mats-for-microgreens/" TargetMode="External"/><Relationship Id="rId26" Type="http://schemas.openxmlformats.org/officeDocument/2006/relationships/hyperlink" Target="https://indoorleafgrow.com/hemp-grow-pads-vs-coco-coir-mats-for-clean-indoor-microgreens/" TargetMode="External"/><Relationship Id="rId25" Type="http://schemas.openxmlformats.org/officeDocument/2006/relationships/hyperlink" Target="https://www.youtube.com/watch?v=FXBUp7J-mYo" TargetMode="External"/><Relationship Id="rId28" Type="http://schemas.openxmlformats.org/officeDocument/2006/relationships/hyperlink" Target="https://pmc.ncbi.nlm.nih.gov/articles/PMC12967691/" TargetMode="External"/><Relationship Id="rId27" Type="http://schemas.openxmlformats.org/officeDocument/2006/relationships/hyperlink" Target="https://www.mdpi.com/2311-7524/12/10/1210" TargetMode="External"/><Relationship Id="rId29" Type="http://schemas.openxmlformats.org/officeDocument/2006/relationships/hyperlink" Target="https://pmc.ncbi.nlm.nih.gov/articles/PMC13253669/" TargetMode="External"/><Relationship Id="rId50" Type="http://schemas.openxmlformats.org/officeDocument/2006/relationships/hyperlink" Target="https://www.researchgate.net/publication/348138296_THE_AMARANTH_SEEDS_AS_A_SOURCE_OF_NUTRIENTS_AND_BIOACTIVE_SUBSTANCES_IN_HUMAN_DIET" TargetMode="External"/><Relationship Id="rId11" Type="http://schemas.openxmlformats.org/officeDocument/2006/relationships/hyperlink" Target="https://www.mdpi.com/2304-8158/15/6/974" TargetMode="External"/><Relationship Id="rId10" Type="http://schemas.openxmlformats.org/officeDocument/2006/relationships/hyperlink" Target="https://pmc.ncbi.nlm.nih.gov/articles/PMC11435253/" TargetMode="External"/><Relationship Id="rId13" Type="http://schemas.openxmlformats.org/officeDocument/2006/relationships/hyperlink" Target="https://pmc.ncbi.nlm.nih.gov/articles/PMC9864543/" TargetMode="External"/><Relationship Id="rId12" Type="http://schemas.openxmlformats.org/officeDocument/2006/relationships/hyperlink" Target="https://herbspeak.com/microgreens-growing-mediums/" TargetMode="External"/><Relationship Id="rId15" Type="http://schemas.openxmlformats.org/officeDocument/2006/relationships/hyperlink" Target="https://pmc.ncbi.nlm.nih.gov/articles/PMC12662059/" TargetMode="External"/><Relationship Id="rId14" Type="http://schemas.openxmlformats.org/officeDocument/2006/relationships/hyperlink" Target="https://pmc.ncbi.nlm.nih.gov/articles/PMC8877763/" TargetMode="External"/><Relationship Id="rId17" Type="http://schemas.openxmlformats.org/officeDocument/2006/relationships/hyperlink" Target="https://pmc.ncbi.nlm.nih.gov/articles/PMC12919383/" TargetMode="External"/><Relationship Id="rId16" Type="http://schemas.openxmlformats.org/officeDocument/2006/relationships/hyperlink" Target="https://pubmed.ncbi.nlm.nih.gov/41726547/" TargetMode="External"/><Relationship Id="rId19" Type="http://schemas.openxmlformats.org/officeDocument/2006/relationships/hyperlink" Target="https://plantarc.com/multipurpose-biodegradable-fiber-mats-and-mulch-sheets-in-agriculture-applications-in-microgreen-production-and-weed-suppression/" TargetMode="External"/><Relationship Id="rId18" Type="http://schemas.openxmlformats.org/officeDocument/2006/relationships/hyperlink" Target="https://terrafibre.ca/pages/coco-coir-vs-hemp-grow-ma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