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Life Cycle Assessment and Phytonutrient Optimization in Controlled Environment Microgreen Agriculture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Optimization of High-Density Organic Yields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cultivation of microgreens and sprouts within highly customized Controlled Environment Agriculture (CEA) systems represents a paradigm shift in urban and precision agricultural production. These systems isolate the growing environment, allowing for the absolute control of lighting, nutrient delivery, and substrate conditions. This control is leveraged to maximize the output of specific phytonutrients, such as glucosinolates and antioxidants, which are present in species like broccoli, sunflower, and fenugreek at concentrations vastly exceeding those found in their mature counterparts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intensity of this environmental control inherently requires substantial inputs of electricity, synthetic hardware, and processed biological media.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the operation is both environmentally and economically sustainable, a rigorous Life Cycle Assessment (LCA) is required to quantify the environmental impact of the product from raw material extraction to end-of-life disposal. The development of advanced farm management software, specifically the Cotyledon application, designed to orchestrate these complex biological and operational parameters, provides an unprecedented opportunity to move away from static environmental audits. Instead, by integrating real-time operational data with established life cycle inventory databases, agricultural operations can dynamically calculate the environmental footprint of every single harvest. The specific architectural footprint of this operation relies on a dense vertical integration strategy utilizing stainless steel wire racks configured as six-shelf, 2x4 ft units, with five active grow shelves per rack. Each shelf is illuminated by multiple 4-ft LED grow bulbs and houses standard 10 in x 20 in flats.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ensuing analysis meticulously evaluates the LCA data associated with indoor LED lighting across various manufacturers (Barrina, Mars Hydro, VivoSun), organic hand-watered hydroponic nutrients, the Cotyledon default hemp mat substrate alongside comparative analyses of historical alternatives like soils and silicone meshes, and the upstream supply chain of organic seeds sourced from True Leaf Market. This comprehensive review establishes the foundational dataset necessary for a software-driven, ecologically optimized microgreen production facility.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 for Agricultural Life Cycle Assessment and Database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 Cycle Assessment is a standardized, science-based analytical methodology used to evaluate the environmental burdens associated with a product, process, or service throughout its entire life cycle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accordance with the International Organization for Standardization guidelines, specifically ISO 14040 and ISO 14044, a complete LCA is structured around four iterative phases: the definition of the assessment's objective and boundaries, the compilation of an inventory of inputs and outputs (Life Cycle Inventory or LCI), the assessment of potential environmental impacts (Life Cycle Impact Assessment or LCIA), and the interpretation of the results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highly customized indoor microgreen operation, the functional unit—the reference to which all inputs and outputs are mathematically normalized—is typically defined as one kilogram (1 kg) of fresh weight harvested microgreens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system boundary for this assessment follows a "cradle-to-grave" model. This encompasses the extraction and manufacturing of structural raw materials (such as stainless steel and silicone), the upstream agricultural production of organic seeds, the continuous operational inputs (electricity, water, organic fertilizers), and the end-of-life disposal or recycling of biological waste and infrastructural components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quantify these impacts, the assessment relies on specific LCIA midpoint indicators. The most critical indicators for a CEA facility include Global Warming Potential (GWP), Eutrophication Potential (EP), and Acidification Potential (AP). Global Warming Potential, measured in kilograms of carbon dioxide equivalents (</w:t>
      </w:r>
      <w:r w:rsidDel="00000000" w:rsidR="00000000" w:rsidRPr="00000000">
        <w:rPr>
          <w:rFonts w:ascii="Google Sans" w:cs="Google Sans" w:eastAsia="Google Sans" w:hAnsi="Google Sans"/>
          <w:color w:val="1f1f1f"/>
        </w:rPr>
        <w:drawing>
          <wp:inline distB="19050" distT="19050" distL="19050" distR="19050">
            <wp:extent cx="896541" cy="217459"/>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96541" cy="217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quantifies the radiative forcing impact of greenhouse gases like </w:t>
      </w:r>
      <w:r w:rsidDel="00000000" w:rsidR="00000000" w:rsidRPr="00000000">
        <w:rPr>
          <w:rFonts w:ascii="Google Sans" w:cs="Google Sans" w:eastAsia="Google Sans" w:hAnsi="Google Sans"/>
          <w:color w:val="1f1f1f"/>
        </w:rPr>
        <w:drawing>
          <wp:inline distB="19050" distT="19050" distL="19050" distR="19050">
            <wp:extent cx="381893" cy="248231"/>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1893" cy="248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95228" cy="251861"/>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5228" cy="251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90585" cy="248902"/>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0585" cy="248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a standard 100-year time horizon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Eutrophication Potential, measured in phosphate equivalents (</w:t>
      </w:r>
      <w:r w:rsidDel="00000000" w:rsidR="00000000" w:rsidRPr="00000000">
        <w:rPr>
          <w:rFonts w:ascii="Google Sans" w:cs="Google Sans" w:eastAsia="Google Sans" w:hAnsi="Google Sans"/>
          <w:color w:val="1f1f1f"/>
        </w:rPr>
        <w:drawing>
          <wp:inline distB="19050" distT="19050" distL="19050" distR="19050">
            <wp:extent cx="1126922" cy="248305"/>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126922" cy="248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nitrogen equivalents (</w:t>
      </w:r>
      <w:r w:rsidDel="00000000" w:rsidR="00000000" w:rsidRPr="00000000">
        <w:rPr>
          <w:rFonts w:ascii="Google Sans" w:cs="Google Sans" w:eastAsia="Google Sans" w:hAnsi="Google Sans"/>
          <w:color w:val="1f1f1f"/>
        </w:rPr>
        <w:drawing>
          <wp:inline distB="19050" distT="19050" distL="19050" distR="19050">
            <wp:extent cx="812602" cy="249147"/>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12602" cy="2491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tracks the potential for nutrient pollution in aquatic and terrestrial ecosystems, primarily driven by nitrogen and phosphorus emissions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Acidification Potential, measured in sulfur dioxide equivalents (</w:t>
      </w:r>
      <w:r w:rsidDel="00000000" w:rsidR="00000000" w:rsidRPr="00000000">
        <w:rPr>
          <w:rFonts w:ascii="Google Sans" w:cs="Google Sans" w:eastAsia="Google Sans" w:hAnsi="Google Sans"/>
          <w:color w:val="1f1f1f"/>
        </w:rPr>
        <w:drawing>
          <wp:inline distB="19050" distT="19050" distL="19050" distR="19050">
            <wp:extent cx="993162" cy="248291"/>
            <wp:effectExtent b="0" l="0" r="0" t="0"/>
            <wp:docPr id="1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993162" cy="2482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the release of protons into ecosystems, largely from agricultural ammonia and fossil fuel combustion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data required to construct this assessment within the Cotyledon software must be sourced from highly verified, peer-reviewed databases. Ecoinvent serves as the most extensive and versatile background database, providing robust lifecycle inventories for electricity grids, plastic and metal manufacturing, and transport logistics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specific agricultural inputs, the French database Agribalyse offers highly disaggregated data on food and agricultural systems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the USDA's Federal LCA Commons provides critical baseline data for North American agriculture, offering precise unit process data for field crop energy consumption, seed production carbon footprints, and regional electricity emission factors across the United States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Integrating these diverse databases allows the software to track the geographically dispersed origins of organic seeds and materials.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Hardware: Embodied Carbon and Lifespan Amortization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infrastructural backbone of the microgreen system consists of heavy-duty stainless steel wire shelving. The specific configuration utilizes 2x4 ft racks with six shelves, dedicating five shelves to active microgreen propagation. Within these shelves, standard 10 in x 20 in flats are deployed. Historically, to provide structural support for the microgreen roots in a purely liquid hydroponic environment without a fibrous medium, the system employed silicone and stainless steel mesh screens laid directly inside the flats. While Cotyledon now defaults to hemp mats, these reusable meshes are actively maintained in the LCA database to compare their sustainability impact and resource footprint against biological alternatives.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refined metals and synthetic polymers into an agricultural system shifts a significant portion of the environmental burden from the biosphere (agricultural land use and soil degradation) to the technosphere (industrial manufacturing and mineral extraction). Environmental Product Declarations (EPDs) for steel components reveal a substantial initial carbon footprint. The manufacturing phase (modules A1-A3 in standard LCA nomenclature) for one kilogram of galvanized, powder-coated, or stainless steel yields a Global Warming Potential ranging between 2.78 and 3.62 </w:t>
      </w:r>
      <w:r w:rsidDel="00000000" w:rsidR="00000000" w:rsidRPr="00000000">
        <w:rPr>
          <w:rFonts w:ascii="Google Sans" w:cs="Google Sans" w:eastAsia="Google Sans" w:hAnsi="Google Sans"/>
          <w:color w:val="1f1f1f"/>
        </w:rPr>
        <w:drawing>
          <wp:inline distB="19050" distT="19050" distL="19050" distR="19050">
            <wp:extent cx="896541" cy="217459"/>
            <wp:effectExtent b="0" l="0" r="0" t="0"/>
            <wp:docPr id="2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96541" cy="21745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footprint encompasses the extraction of iron ore, the intense thermal energy required for smelting, and the subsequent forming, weaving, and protective coating processes required to produce steel wire racks and fine mesh screens.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silicone—a synthetic polymer composed of alternating silicon and oxygen atoms (siloxanes)—requires the highly energy-intensive carbothermic reduction of silicon dioxide into metallurgical-grade silicon, followed by complex chemical syntheses. While silicone is highly durable, thermally stable, and chemically inert, making it an ideal, food-safe root support structure, its initial embodied energy is exceptionally high.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raw manufacturing footprint provides an incomplete and potentially misleading picture when assessing the true sustainability of indoor agriculture. The critical metric in structural LCA is lifespan amortization. Stainless steel shelving and high-grade stainless or silicone root meshes possess exceptional durability, often carrying a reference service life of up to 50 years under standard indoor conditions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the initial heavy burden of </w:t>
      </w:r>
      <w:r w:rsidDel="00000000" w:rsidR="00000000" w:rsidRPr="00000000">
        <w:rPr>
          <w:rFonts w:ascii="Google Sans" w:cs="Google Sans" w:eastAsia="Google Sans" w:hAnsi="Google Sans"/>
          <w:color w:val="1f1f1f"/>
        </w:rPr>
        <w:drawing>
          <wp:inline distB="19050" distT="19050" distL="19050" distR="19050">
            <wp:extent cx="1454887" cy="247559"/>
            <wp:effectExtent b="0" l="0" r="0" t="0"/>
            <wp:docPr id="1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454887" cy="247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kilogram of steel is divided across decades of continuous, 14-day microgreen growth cycles, the per-functional-unit impact (per kg of harvested microgreens) drops to fractions of a gram.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modeling the life cycle of building-integrated microgreen systems demonstrates that durable infrastructure, despite its high upfront cost in carbon, accounts for only about 11.3% (approximately 2.0 </w:t>
      </w:r>
      <w:r w:rsidDel="00000000" w:rsidR="00000000" w:rsidRPr="00000000">
        <w:rPr>
          <w:rFonts w:ascii="Google Sans" w:cs="Google Sans" w:eastAsia="Google Sans" w:hAnsi="Google Sans"/>
          <w:color w:val="1f1f1f"/>
        </w:rPr>
        <w:drawing>
          <wp:inline distB="19050" distT="19050" distL="19050" distR="19050">
            <wp:extent cx="896541" cy="217459"/>
            <wp:effectExtent b="0" l="0" r="0" t="0"/>
            <wp:docPr id="2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96541" cy="217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total systemic emissions over its operational life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structural stability of reusable stainless and silicone meshes bypasses the recurring life-cycle costs, transportation emissions, and continuous resource depletion associated with single-use peat or synthetic fibrous pads, demonstrating that high-embodied-carbon materials are environmentally superior when their longevity is maximized and their end-of-life recyclability (LCA module D) is effectively managed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Substrate Profiles: Organic Fibers vs. Liquid Matrices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default cultivation model for Cotyledon utilizes organic hemp mats laid inside the 10x20 inch flats, saturated with hydroponic nutritional irrigation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to ensure a rigorous comparative life-cycle assessment, the software continuously evaluates the sustainability impact and resource footprint of this default against historical and alternative substrates, including mixed soils, coco coir, and the previously utilized silicone or stainless steel meshes.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Peat and Mixed Soils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Peat moss has historically been a foundational element in mixed soil mediums due to its excellent water retention, low bulk density, and structural stability. However, from a rigorous life-cycle perspective, peat is profoundly unsustainable. Peat bogs are vital, slow-forming terrestrial carbon sinks. The extraction of peat actively degrades these delicate ecosystems and releases immense volumes of sequestered carbon dioxide and methane into the atmosphere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comparative LCAs of horticultural growing media, peat-based substrates consistently exhibit the highest global warming potential and terrestrial ecotoxicity indicators among all biological media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Consequently, strictly organic operations aiming for a minimized ecological footprint must actively phase out peat in favor of renewable alternatives.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Coco Coir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Coco coir is a byproduct of the coconut industry, repurposed as a highly effective, renewable horticultural substrate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Despite its biological origin and high lignin content that resists rapid decomposition, the LCA of coco coir reveals significant environmental hotspots. The extraction of coir pith requires a retting process—soaking the coconut husks in brackish water for extended periods to separate the fibers. This anaerobic fermentation process results in the direct emission of biogenic greenhouse gases, specifically estimated at 0.0328 kg </w:t>
      </w:r>
      <w:r w:rsidDel="00000000" w:rsidR="00000000" w:rsidRPr="00000000">
        <w:rPr>
          <w:rFonts w:ascii="Google Sans" w:cs="Google Sans" w:eastAsia="Google Sans" w:hAnsi="Google Sans"/>
          <w:color w:val="1f1f1f"/>
        </w:rPr>
        <w:drawing>
          <wp:inline distB="19050" distT="19050" distL="19050" distR="19050">
            <wp:extent cx="395228" cy="251861"/>
            <wp:effectExtent b="0" l="0" r="0" t="0"/>
            <wp:docPr id="2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5228" cy="251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0.0457 kg </w:t>
      </w:r>
      <w:r w:rsidDel="00000000" w:rsidR="00000000" w:rsidRPr="00000000">
        <w:rPr>
          <w:rFonts w:ascii="Google Sans" w:cs="Google Sans" w:eastAsia="Google Sans" w:hAnsi="Google Sans"/>
          <w:color w:val="1f1f1f"/>
        </w:rPr>
        <w:drawing>
          <wp:inline distB="19050" distT="19050" distL="19050" distR="19050">
            <wp:extent cx="381893" cy="248231"/>
            <wp:effectExtent b="0" l="0" r="0" t="0"/>
            <wp:docPr id="2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1893" cy="248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functional unit of processed coir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coir pith has a demonstrably high impact on freshwater consumption (0.00066 </w:t>
      </w:r>
      <w:r w:rsidDel="00000000" w:rsidR="00000000" w:rsidRPr="00000000">
        <w:rPr>
          <w:rFonts w:ascii="Google Sans" w:cs="Google Sans" w:eastAsia="Google Sans" w:hAnsi="Google Sans"/>
          <w:color w:val="1f1f1f"/>
        </w:rPr>
        <w:drawing>
          <wp:inline distB="19050" distT="19050" distL="19050" distR="19050">
            <wp:extent cx="250388" cy="250388"/>
            <wp:effectExtent b="0" l="0" r="0" t="0"/>
            <wp:docPr id="2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50388" cy="2503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functional unit) and necessitates intercontinental shipping from tropical agricultural zones (e.g., India, Sri Lanka) to North America, drastically inflating its transportation (Scope 3) carbon footprint. Agronomically, while loose coir provides excellent root aeration, it often proves excessively messy during the precise harvesting required for microgreens, contaminating the final product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Chosen Default: Hemp Mats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Bast fibers, specifically the hemp mats chosen as the Cotyledon default, offer highly competitive environmental and agronomic advantages for microgreen production. Hemp is a vigorous, fast-growing crop that establishes a dense canopy rapidly, suppressing weeds and requiring minimal synthetic pesticides or herbicides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When processed into non-woven grow mats, hemp provides an ideal capillary structure that balances water retention with vital root zone aeration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Jute similarly offers high tensile strength and excellent moisture retention, providing a stable anchoring matrix for dense sprout root systems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life cycle of these mats involves agricultural cultivation, mechanical decortication (separating the bast fiber from the inner woody core), and physical manufacturing processes like needle-punching or hydro-entangling to form the mats. Because these processes are largely mechanical rather than complex thermal or chemical reactions, their embodied energy remains remarkably low compared to synthetic alternatives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during their rapid growth phase, hemp plants actively sequester atmospheric carbon.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LCA methodologies continuously debate the permanent accounting of biogenic carbon storage for short-lived agricultural products, the organic end-of-life scenario—composting the root-bound mats—ensures that the organic matter is returned to the soil, functioning in a circular ecological loop</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Agronomic studies confirm the efficacy of these materials; hemp mats have been shown to yield superior fresh and dry shoot weights in microgreens compared to several other hydroponic pads, optimizing the output side of the LCA equation by maximizing the harvestable mass per unit of input energy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LED Grow Lighting: Energy Footprints and Phytochemical Elicitation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indoor vertical farming, the use phase of electrical equipment—specifically LED grow lighting and climate control HVAC—overwhelmingly dominates the total energy consumption and the resultant Global Warming Potential of the facility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standard building-integrated microgreen facility can attribute up to 54% of its total carbon emissions directly to electricity usage, with LED lighting alone accounting for roughly 4.4 </w:t>
      </w:r>
      <w:r w:rsidDel="00000000" w:rsidR="00000000" w:rsidRPr="00000000">
        <w:rPr>
          <w:rFonts w:ascii="Google Sans" w:cs="Google Sans" w:eastAsia="Google Sans" w:hAnsi="Google Sans"/>
          <w:color w:val="1f1f1f"/>
        </w:rPr>
        <w:drawing>
          <wp:inline distB="19050" distT="19050" distL="19050" distR="19050">
            <wp:extent cx="896541" cy="217459"/>
            <wp:effectExtent b="0" l="0" r="0" t="0"/>
            <wp:docPr id="2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96541" cy="217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kg of harvested crop</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LCA of an LED luminaire is distinctly bifurcated between its manufacturing phase (wafer fabrication, aluminum extrusion for heat sinks, printed circuit boards) and its operational lifespan. While the fabrication of advanced LED diodes involves rare earth metals and energy-intensive cleanrooms, the operational phase accounts for the vast majority of the environmental impact over a standard 50,000-hour lifespan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Therefore, selecting fixtures with the highest Photosynthetic Photon Efficacy (PPE)—measured in micromoles of photosynthetically active photons per joule of electrical energy (</w:t>
      </w:r>
      <w:r w:rsidDel="00000000" w:rsidR="00000000" w:rsidRPr="00000000">
        <w:rPr>
          <w:rFonts w:ascii="Google Sans" w:cs="Google Sans" w:eastAsia="Google Sans" w:hAnsi="Google Sans"/>
          <w:color w:val="1f1f1f"/>
        </w:rPr>
        <w:drawing>
          <wp:inline distB="19050" distT="19050" distL="19050" distR="19050">
            <wp:extent cx="593884" cy="218396"/>
            <wp:effectExtent b="0" l="0" r="0" t="0"/>
            <wp:docPr id="3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3884" cy="2183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)—is the most effective strategy for reducing the operation's carbon footprint.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Profiles: Barrina, Mars Hydro, and VivoSun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under analysis utilizes two to three 4-ft LED grow bulbs per shelf on 2x4 ft racks. The hardware landscape includes several prominent manufacturers, each offering different spectral and energy profiles suitable for integration into the Cotyledon software's database.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Barrina:</w:t>
      </w:r>
      <w:r w:rsidDel="00000000" w:rsidR="00000000" w:rsidRPr="00000000">
        <w:rPr>
          <w:rFonts w:ascii="Google Sans" w:cs="Google Sans" w:eastAsia="Google Sans" w:hAnsi="Google Sans"/>
          <w:color w:val="1f1f1f"/>
          <w:rtl w:val="0"/>
        </w:rPr>
        <w:t xml:space="preserve"> The Barrina T8 4ft LED strips (often packaged in 6-packs) represent a highly modular and accessible approach to vertical farming. A 6-pack draws approximately 180W to 252W (30W to 42W per individual tube) depending on the specific model generation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With up to 1152 individual LEDs in a 252W array, they provide a full-spectrum output (often tailored as pinkish white or yellow 5000K)</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100% aluminum housing ensures adequate passive thermal dissipation, extending diode life without the need for mechanical cooling fans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Placing two to three bulbs per 2x4 ft shelf draws between 60W and 126W for an 8 sq ft area (7.5 to 15.7 W/sq ft). This aligns perfectly with the lower-end vegetative growth requirements suitable for early-stage microgreens, prioritizing energy efficiency over extreme intensity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Mars Hydro and VivoSun:</w:t>
      </w:r>
      <w:r w:rsidDel="00000000" w:rsidR="00000000" w:rsidRPr="00000000">
        <w:rPr>
          <w:rFonts w:ascii="Google Sans" w:cs="Google Sans" w:eastAsia="Google Sans" w:hAnsi="Google Sans"/>
          <w:color w:val="1f1f1f"/>
          <w:rtl w:val="0"/>
        </w:rPr>
        <w:t xml:space="preserve"> These brands typically produce high-output planar quantum board or bar-style fixtures targeting dense canopies and high-light flowering crops, but their dimmable bar fixtures are highly adaptable for vertical racks. VivoSun offers the AeroLight and LumaLight series, while Mars Hydro is recognized for the FC series. Wattages range from 100W micro-fixtures up to 800W arrays designed for large 4x4 ft or 5x5 ft footprints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These modern fixtures leverage high-bin Samsung diodes (such as the LM301B or LM301H EVO) capable of exceptional efficacies ranging from 2.7 to 2.96 </w:t>
      </w:r>
      <w:r w:rsidDel="00000000" w:rsidR="00000000" w:rsidRPr="00000000">
        <w:rPr>
          <w:rFonts w:ascii="Google Sans" w:cs="Google Sans" w:eastAsia="Google Sans" w:hAnsi="Google Sans"/>
          <w:color w:val="1f1f1f"/>
        </w:rPr>
        <w:drawing>
          <wp:inline distB="19050" distT="19050" distL="19050" distR="19050">
            <wp:extent cx="593884" cy="218396"/>
            <wp:effectExtent b="0" l="0" r="0" t="0"/>
            <wp:docPr id="3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3884" cy="21839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a 2x4 ft shelf, a dimmed 200W fixture from either brand would provide incredibly uniform coverage and deep canopy penetration, though it represents a higher capital expenditure and embodied carbon footprint during the manufacturing phase compared to simple T8 strips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Spectral Tuning and Phytonutrient Trade-Offs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objective of the Cotyledon software is not merely raw biomass accumulation, but the maximization of specific phytonutrients and known nutritional benefits. Light quality (spectrum), quantity (Photosynthetic Photon Flux Density - PPFD), and photoperiod are the primary abiotic elicitors of secondary plant metabolites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Broccoli microgreens are highly prized for their exceptional concentration of glucoraphanin, the organic precursor to sulforaphane. Sulforaphane is a potent activator of the Nrf2 transcription factor, which regulates cellular antioxidant defense and detoxification pathways in the human body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Rigorous analytical research indicates that broccoli sprouts and microgreens contain 10 to 100 times more glucoraphanin by weight than mature broccoli florets, making them functional superfoods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biosynthesis of these phytochemicals is directly modulated and upregulated by specific light wavelengths: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Blue Light (400-500 nm):</w:t>
      </w:r>
      <w:r w:rsidDel="00000000" w:rsidR="00000000" w:rsidRPr="00000000">
        <w:rPr>
          <w:rFonts w:ascii="Google Sans" w:cs="Google Sans" w:eastAsia="Google Sans" w:hAnsi="Google Sans"/>
          <w:color w:val="1f1f1f"/>
          <w:rtl w:val="0"/>
        </w:rPr>
        <w:t xml:space="preserve"> Elevated proportions of blue light actively stimulate the production of glucosinolates, polyphenols, and essential mineral elements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acts as a mild abiotic stressor, increasing the overall phenolic content, anthocyanin expression, and antimicrobial activity in the plant tissue, leading to a more robust, nutrient-dense crop.</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Red Light (600-700 nm):</w:t>
      </w:r>
      <w:r w:rsidDel="00000000" w:rsidR="00000000" w:rsidRPr="00000000">
        <w:rPr>
          <w:rFonts w:ascii="Google Sans" w:cs="Google Sans" w:eastAsia="Google Sans" w:hAnsi="Google Sans"/>
          <w:color w:val="1f1f1f"/>
          <w:rtl w:val="0"/>
        </w:rPr>
        <w:t xml:space="preserve"> Red light aligns perfectly with the absorption peaks of chlorophyll a and b, making it highly efficient for driving raw photosynthesis and rapid canopy expansion. When combined with broad-spectrum white light, red light increases soluble sugar content and ascorbic acid (Vitamin C) synthesis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UV-A/UV-B:</w:t>
      </w:r>
      <w:r w:rsidDel="00000000" w:rsidR="00000000" w:rsidRPr="00000000">
        <w:rPr>
          <w:rFonts w:ascii="Google Sans" w:cs="Google Sans" w:eastAsia="Google Sans" w:hAnsi="Google Sans"/>
          <w:color w:val="1f1f1f"/>
          <w:rtl w:val="0"/>
        </w:rPr>
        <w:t xml:space="preserve"> Short-duration exposure to UV light (e.g., 10 minutes of UV-C prior to harvest) has been shown to temporarily stress the plant, inducing a defensive, rapid spike in chlorophyll and carotenoid content without permanently damaging the tissue.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optimal coloration and peak phytochemical density in demanding varieties like red cabbage or amaranth, a PPFD of 150 to 220 </w:t>
      </w:r>
      <w:r w:rsidDel="00000000" w:rsidR="00000000" w:rsidRPr="00000000">
        <w:rPr>
          <w:rFonts w:ascii="Google Sans" w:cs="Google Sans" w:eastAsia="Google Sans" w:hAnsi="Google Sans"/>
          <w:color w:val="1f1f1f"/>
        </w:rPr>
        <w:drawing>
          <wp:inline distB="19050" distT="19050" distL="19050" distR="19050">
            <wp:extent cx="985780" cy="249322"/>
            <wp:effectExtent b="0" l="0" r="0" t="0"/>
            <wp:docPr id="3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985780" cy="249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generally required</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For standard microgreen biomass focused purely on yield, 120 to 180 </w:t>
      </w:r>
      <w:r w:rsidDel="00000000" w:rsidR="00000000" w:rsidRPr="00000000">
        <w:rPr>
          <w:rFonts w:ascii="Google Sans" w:cs="Google Sans" w:eastAsia="Google Sans" w:hAnsi="Google Sans"/>
          <w:color w:val="1f1f1f"/>
        </w:rPr>
        <w:drawing>
          <wp:inline distB="19050" distT="19050" distL="19050" distR="19050">
            <wp:extent cx="985780" cy="249322"/>
            <wp:effectExtent b="0" l="0" r="0" t="0"/>
            <wp:docPr id="3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985780" cy="249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sufficient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biological reality creates a complex, secondary environmental insight: there is a fundamental, inescapable trade-off between the energy intensity required to maximize specific phytonutrients (such as sulforaphane) and the resultant Global Warming Potential per kilogram of crop. Pushing a VivoSun or Mars Hydro fixture to deliver 250 </w:t>
      </w:r>
      <w:r w:rsidDel="00000000" w:rsidR="00000000" w:rsidRPr="00000000">
        <w:rPr>
          <w:rFonts w:ascii="Google Sans" w:cs="Google Sans" w:eastAsia="Google Sans" w:hAnsi="Google Sans"/>
          <w:color w:val="1f1f1f"/>
        </w:rPr>
        <w:drawing>
          <wp:inline distB="19050" distT="19050" distL="19050" distR="19050">
            <wp:extent cx="985780" cy="249322"/>
            <wp:effectExtent b="0" l="0" r="0" t="0"/>
            <wp:docPr id="3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985780" cy="249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blue-heavy spectrum will undoubtedly spike the glucosinolate profile, but it simultaneously increases the total kilowatt-hours consumed per harvest cycle. The Cotyledon software orchestrating this system must therefore dynamically balance the predictive nutritional yield against the environmental footprint, utilizing highly efficient diodes (&gt;2.7 </w:t>
      </w:r>
      <w:r w:rsidDel="00000000" w:rsidR="00000000" w:rsidRPr="00000000">
        <w:rPr>
          <w:rFonts w:ascii="Google Sans" w:cs="Google Sans" w:eastAsia="Google Sans" w:hAnsi="Google Sans"/>
          <w:color w:val="1f1f1f"/>
        </w:rPr>
        <w:drawing>
          <wp:inline distB="19050" distT="19050" distL="19050" distR="19050">
            <wp:extent cx="593884" cy="218396"/>
            <wp:effectExtent b="0" l="0" r="0" t="0"/>
            <wp:docPr id="3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3884" cy="2183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decouple metabolic enhancement from fossil-fuel expenditure.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Hydroponic Nutrient Regimes and Eutrophication Potential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system employs a purely liquid hydroponic matrix flowing over the hemp mats, the composition of the nutrient solution is the primary source of plant fertility. Standard commercial hydroponics rely on highly refined, highly soluble mineral salts (such as calcium nitrate and potassium phosphate) synthesized via the Haber-Bosch process, which is immensely energy-intensive and heavily reliant on natural gas as a hydrogen feedstock. To maintain strict organic integrity, the system utilizes natural biological inputs, specifically fish hydrolysate and liquid kelp.</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Fish Hydrolysate vs. Fish Emulsion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both are marine-derived organic fertilizers, their respective manufacturing processes result in vastly different biological outputs and life cycle impacts. Fish emulsion is processed using intense heat to remove commercially valuable oils and separate proteins, resulting in a thick, odoriferous liquid. In stark contrast, fish hydrolysate is cold-processed, utilizing naturally occurring or introduced enzymes to break down whole fish or fish waste (bycatch, frames, offal) into a liquid form without the application of external thermal energy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cold process of hydrolysate preserves the delicate, volatile oils, essential amino acids, and complex proteins that are routinely denatured and destroyed in the emulsion process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From an LCA perspective, manufacturing fish hydrolysate avoids the severe thermal energy penalty associated with emulsions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A comparative life cycle assessment of organic biostimulants indicates that fish hydrolysate represents a uniquely low-impact pathway for nitrogen and phosphorus delivery, especially when sourced from existing fishery waste streams, functioning as an upcycled, circular resource that mitigates the depletion of terrestrial mineral reserves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Furthermore, liquid kelp (e.g., </w:t>
      </w:r>
      <w:r w:rsidDel="00000000" w:rsidR="00000000" w:rsidRPr="00000000">
        <w:rPr>
          <w:rFonts w:ascii="Google Sans" w:cs="Google Sans" w:eastAsia="Google Sans" w:hAnsi="Google Sans"/>
          <w:i w:val="1"/>
          <w:iCs w:val="1"/>
          <w:color w:val="1f1f1f"/>
          <w:rtl w:val="0"/>
        </w:rPr>
        <w:t xml:space="preserve">Ascophyllum nodosum</w:t>
      </w:r>
      <w:r w:rsidDel="00000000" w:rsidR="00000000" w:rsidRPr="00000000">
        <w:rPr>
          <w:rFonts w:ascii="Google Sans" w:cs="Google Sans" w:eastAsia="Google Sans" w:hAnsi="Google Sans"/>
          <w:color w:val="1f1f1f"/>
          <w:rtl w:val="0"/>
        </w:rPr>
        <w:t xml:space="preserve">) is integrated into the nutrient regime to supply naturally occurring phytohormones, notably cytokinins, which regulate cell division and significantly enhance stress tolerance in dense, highly competitive microgreen canopies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Eutrophication Potential and Closed-Loop Systems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environmental concern with applying high concentrations of nitrogen and phosphorus—regardless of whether they originate from organic marine sources or synthetic chemistry—is Eutrophication Potential (EP). Eutrophication occurs when excess nutrients run off into freshwater or marine ecosystems, triggering aggressive algal blooms. As these blooms die and decompose, they deplete dissolved oxygen in the water column, leading to hypoxic "dead zones" that devastate aquatic life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EP is mathematically standardized using phosphate equivalents (</w:t>
      </w:r>
      <w:r w:rsidDel="00000000" w:rsidR="00000000" w:rsidRPr="00000000">
        <w:rPr>
          <w:rFonts w:ascii="Google Sans" w:cs="Google Sans" w:eastAsia="Google Sans" w:hAnsi="Google Sans"/>
          <w:color w:val="1f1f1f"/>
        </w:rPr>
        <w:drawing>
          <wp:inline distB="19050" distT="19050" distL="19050" distR="19050">
            <wp:extent cx="1129789" cy="247260"/>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129789" cy="247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example, 1 kilogram of ammonia emission represents 0.35 kg of </w:t>
      </w:r>
      <w:r w:rsidDel="00000000" w:rsidR="00000000" w:rsidRPr="00000000">
        <w:rPr>
          <w:rFonts w:ascii="Google Sans" w:cs="Google Sans" w:eastAsia="Google Sans" w:hAnsi="Google Sans"/>
          <w:color w:val="1f1f1f"/>
        </w:rPr>
        <w:drawing>
          <wp:inline distB="19050" distT="19050" distL="19050" distR="19050">
            <wp:extent cx="918210" cy="248682"/>
            <wp:effectExtent b="0" l="0" r="0" t="0"/>
            <wp:docPr id="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918210" cy="248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1 kilogram of Chemical Oxygen Demand (COD) emitted to freshwater equals 0.022 kg </w:t>
      </w:r>
      <w:r w:rsidDel="00000000" w:rsidR="00000000" w:rsidRPr="00000000">
        <w:rPr>
          <w:rFonts w:ascii="Google Sans" w:cs="Google Sans" w:eastAsia="Google Sans" w:hAnsi="Google Sans"/>
          <w:color w:val="1f1f1f"/>
        </w:rPr>
        <w:drawing>
          <wp:inline distB="19050" distT="19050" distL="19050" distR="19050">
            <wp:extent cx="918210" cy="248682"/>
            <wp:effectExtent b="0" l="0" r="0" t="0"/>
            <wp:docPr id="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918210" cy="24868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traditional open-field agriculture, the application of organic fertilizers like fish hydrolysate often results in volatile ammonia emissions to the air and significant nitrate leaching into the groundwater table. However, in a hand-watered, closed-loop indoor rack system using precise 10x20 flats, aqueous runoff is completely captured, recirculated, or meticulously managed. This physical containment effectively reduces the aquatic freshwater and marine eutrophication potentials to near absolute zero during the operational phase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unique biological challenge arises when substituting mineral hydroponic salts with organic fish hydrolysate in an otherwise sterile, soil-less system. The complex organic compounds in hydrolysate require a robust, active microbial population to mineralize the proteins into plant-bioavailable ammonium and nitrate. Without the deep buffering capacity of field soil, the liquid matrix can experience a rapid spike in Biological Oxygen Demand (BOD) as heterotrophic bacteria multiply to break down the fish oils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necessitates hyper-oxygenation of the nutrient reservoir—requiring electric air pumps and air stones—which introduces a minor but measurable addition to the electricity inventory within the LCA model.</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Organic Seed Supply Chain and Upstream Footprints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conventional agricultural production of mature crops, the physical mass of the seed planted is statistically insignificant compared to the mass of the final harvested fruit or biomass. Microgreens present a stark inversion of this biological ratio. Harvested at the cotyledon stage, a standard 10x20 flat requires an incredibly dense sowing rate (e.g., 20 to 30 grams of seed) to yield roughly 200 to 300 grams of fresh biomass. Consequently, the seed itself constitutes a major fraction of the final product by weight, often representing 10% or more of the harvested mass.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LCA models of indoor microgreen production confirm this unique dynamic: seeds are one of the most dominant contributors to the total Global Warming Potential of the entire system. In rigorous assessments, the seed supply chain accounts for over 4.04 </w:t>
      </w:r>
      <w:r w:rsidDel="00000000" w:rsidR="00000000" w:rsidRPr="00000000">
        <w:rPr>
          <w:rFonts w:ascii="Google Sans" w:cs="Google Sans" w:eastAsia="Google Sans" w:hAnsi="Google Sans"/>
          <w:color w:val="1f1f1f"/>
        </w:rPr>
        <w:drawing>
          <wp:inline distB="19050" distT="19050" distL="19050" distR="19050">
            <wp:extent cx="896541" cy="217459"/>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96541" cy="217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kg of harvested microgreens, rivaling or even exceeding the carbon footprint of the electricity used to power the LED lights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Tracing the Supply Chain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 procures its organic microgreen seeds—such as broccoli, sunflower, and fenugreek—from True Leaf Market, an independent e-commerce seed company headquartered in Salt Lake City, Utah</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While the distributor is centralized, the organic seeds are cultivated geographically worldwide, relying on an extensive global agricultural network.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embedded carbon footprint of an organic seed encompasses the entire agricultural life cycle of the mother plant. To produce organic broccoli or sunflower seed, open-field agriculture requires: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Tractor Operations and Diesel Consumption:</w:t>
      </w:r>
      <w:r w:rsidDel="00000000" w:rsidR="00000000" w:rsidRPr="00000000">
        <w:rPr>
          <w:rFonts w:ascii="Google Sans" w:cs="Google Sans" w:eastAsia="Google Sans" w:hAnsi="Google Sans"/>
          <w:color w:val="1f1f1f"/>
          <w:rtl w:val="0"/>
        </w:rPr>
        <w:t xml:space="preserve"> Primary tillage, harrowing, and mechanical harvesting rely entirely on diesel fuel. In U.S. agriculture, diesel accounts for 44% of direct energy consumption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An LCA calculating the energy input for seed production indicates that diesel and heavy machinery operations represent the highest non-fertilizer energy inputs, emitting roughly 56.31 MJ of energy per liter of diesel combusted</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Irrigation:</w:t>
      </w:r>
      <w:r w:rsidDel="00000000" w:rsidR="00000000" w:rsidRPr="00000000">
        <w:rPr>
          <w:rFonts w:ascii="Google Sans" w:cs="Google Sans" w:eastAsia="Google Sans" w:hAnsi="Google Sans"/>
          <w:color w:val="1f1f1f"/>
          <w:rtl w:val="0"/>
        </w:rPr>
        <w:t xml:space="preserve"> Pumping groundwater for field crops requires significant electrical or diesel energy, deeply impacting the energy ratio (output vs. input energy) of the seed crop</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Organic Fertilization:</w:t>
      </w:r>
      <w:r w:rsidDel="00000000" w:rsidR="00000000" w:rsidRPr="00000000">
        <w:rPr>
          <w:rFonts w:ascii="Google Sans" w:cs="Google Sans" w:eastAsia="Google Sans" w:hAnsi="Google Sans"/>
          <w:color w:val="1f1f1f"/>
          <w:rtl w:val="0"/>
        </w:rPr>
        <w:t xml:space="preserve"> While avoiding synthetic nitrogen (which drastically lowers the energy footprint compared to conventional farming), organic seed crops still require the transport, spreading, and incorporation of heavy composts and manures, which require machinery hours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Processing and Transport:</w:t>
      </w:r>
      <w:r w:rsidDel="00000000" w:rsidR="00000000" w:rsidRPr="00000000">
        <w:rPr>
          <w:rFonts w:ascii="Google Sans" w:cs="Google Sans" w:eastAsia="Google Sans" w:hAnsi="Google Sans"/>
          <w:color w:val="1f1f1f"/>
          <w:rtl w:val="0"/>
        </w:rPr>
        <w:t xml:space="preserve"> Once harvested, seeds must be dried, cleaned, tested for germination rates, packaged, and transported from global farms to the Utah distribution center, and subsequently shipped to the local CEA facility via freight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track this massive footprint within the Cotyledon software, standard baseline datasets are necessary. The USDA's Federal LCA Commons provides extensive digital unit process data regarding field crop production, greenhouse gas emissions from agriculture, and regional transportation logistics across the United States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Integrating this upstream data ensures that the LCA model accounts for the hidden agricultural burdens of the organic seeds, preventing the illusion of a "zero-carbon" facility simply because the immediate indoor operation is clean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LCA Dataset Integration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facilitate the software architecture of Cotyledon, the following dataset consolidates the critical parameters, emission factors, and energy efficacies across hardware, substrates, and biological inputs discussed throughout the research. This structured data serves as the foundation for real-time calculation matrices.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LCA Parameters Database for Cotyledon Software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 Input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 Range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LCA Impact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Stainless Steel / Metal Racks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GWP (A1-A3 Manufacturing)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2.78 - 3.62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67165" cy="216705"/>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167165" cy="21670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Warming Potential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Stainless Steel / Metal Racks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Service Life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Amortization / Durability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Peat Moss Substrate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GWP (Extraction)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96541" cy="217459"/>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96541" cy="21745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GWP / Habitat Destruction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Coco Coir Pith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Methane emissions (Retting)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91540" cy="216246"/>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891540" cy="21624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GWP (Biogenic)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Hemp / Jute 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 of Life (Composting)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Biodegradable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Circularity / Waste Reduction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Barrina 4ft T8 LEDs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Draw (per 6-pack)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180 - 252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Mars Hydro / VivoSun LEDs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Photosynthetic Photon Efficacy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2.7 - 2.96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3884" cy="218396"/>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3884" cy="2183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Efficiency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Microgreen Lighting Req.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PPFD (Biomass)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120 - 180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85780" cy="249322"/>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985780" cy="24932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Microgreen Lighting Req.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PPFD (Phytonutrient)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85780" cy="249322"/>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985780" cy="24932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Organic Seeds (Field Grown)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GWP Contribution (Microgreens)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67165" cy="216705"/>
                  <wp:effectExtent b="0" l="0" r="0" t="0"/>
                  <wp:docPr id="1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167165" cy="21670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GWP (Upstream)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Field Diesel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Density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3277" cy="217324"/>
                  <wp:effectExtent b="0" l="0" r="0" t="0"/>
                  <wp:docPr id="2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03277" cy="21732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GWP / Energy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Fish Hydrolysate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(Cold 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69714" cy="216491"/>
                  <wp:effectExtent b="0" l="0" r="0" t="0"/>
                  <wp:docPr id="2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69714" cy="2164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GWP Reduction vs Emulsion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Ammonia (Nutrient Runoff)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Eutrophication Equivalent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53827" cy="216852"/>
                  <wp:effectExtent b="0" l="0" r="0" t="0"/>
                  <wp:docPr id="2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053827" cy="21685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Eutrophication Potential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LCA and Software Orchestration (Cotyledon Integration)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execution of a Life Cycle Assessment is a static, retrospective process resulting in a PDF report. The objective of the Cotyledon software is to transform LCA into a dynamic, predictive engine that actively manages business operations and farming production.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the software architecture leverages OpenLCA, a leading open-source life cycle modeling tool utilized by researchers and industry professionals globally</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OpenLCA offers a robust Inter-Process Communication (IPC) API, operating via JSON-RPC over HTTP or gRPC protocols, which allows external applications written in modern programming languages like Python, JavaScript, or C# to communicate directly with the LCA calculation kernel</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establishing a secure API connection between the Cotyledon app and an active OpenLCA server loaded with the Ecoinvent, Agribalyse, and USDA Federal LCA Commons databases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system automates continuous environmental auditing. The data flow functions through several critical stages:</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Inventory Data Acquisition:</w:t>
      </w:r>
      <w:r w:rsidDel="00000000" w:rsidR="00000000" w:rsidRPr="00000000">
        <w:rPr>
          <w:rFonts w:ascii="Google Sans" w:cs="Google Sans" w:eastAsia="Google Sans" w:hAnsi="Google Sans"/>
          <w:color w:val="1f1f1f"/>
          <w:rtl w:val="0"/>
        </w:rPr>
        <w:t xml:space="preserve"> Sensors and manual inputs within the Cotyledon app record the exact weight of organic True Leaf Market seeds sown, the precise volume of fish hydrolysate dispensed, the hours of LED illumination at specific wattage parameters (differentiating between a Barrina T8 and a dimmed VivoSun AeroLight), and the total fresh weight of the harvested microgreens.</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API Execution:</w:t>
      </w:r>
      <w:r w:rsidDel="00000000" w:rsidR="00000000" w:rsidRPr="00000000">
        <w:rPr>
          <w:rFonts w:ascii="Google Sans" w:cs="Google Sans" w:eastAsia="Google Sans" w:hAnsi="Google Sans"/>
          <w:color w:val="1f1f1f"/>
          <w:rtl w:val="0"/>
        </w:rPr>
        <w:t xml:space="preserve"> The application compiles this parameterized inventory data and sends it via JSON payload to the OpenLCA IPC server</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Real-Time LCIA Calculation:</w:t>
      </w:r>
      <w:r w:rsidDel="00000000" w:rsidR="00000000" w:rsidRPr="00000000">
        <w:rPr>
          <w:rFonts w:ascii="Google Sans" w:cs="Google Sans" w:eastAsia="Google Sans" w:hAnsi="Google Sans"/>
          <w:color w:val="1f1f1f"/>
          <w:rtl w:val="0"/>
        </w:rPr>
        <w:t xml:space="preserve"> OpenLCA maps these operational inputs to the vast background database flows—for instance, calculating the footprint of 1 kWh of electricity based on the local grid's emission factor, amortizing the embodied carbon of the stainless steel rack over its 50-year life, and aggregating the upstream tractor diesel footprint of the organic seeds. It then calculates the exact Global Warming Potential and Eutrophication Potential for that specific harvest flat</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Optimization Feedback Loop:</w:t>
      </w:r>
      <w:r w:rsidDel="00000000" w:rsidR="00000000" w:rsidRPr="00000000">
        <w:rPr>
          <w:rFonts w:ascii="Google Sans" w:cs="Google Sans" w:eastAsia="Google Sans" w:hAnsi="Google Sans"/>
          <w:color w:val="1f1f1f"/>
          <w:rtl w:val="0"/>
        </w:rPr>
        <w:t xml:space="preserve"> If the Cotyledon software detects that a specific variety of broccoli microgreen requires 200 </w:t>
      </w:r>
      <w:r w:rsidDel="00000000" w:rsidR="00000000" w:rsidRPr="00000000">
        <w:rPr>
          <w:rFonts w:ascii="Google Sans" w:cs="Google Sans" w:eastAsia="Google Sans" w:hAnsi="Google Sans"/>
          <w:color w:val="1f1f1f"/>
        </w:rPr>
        <w:drawing>
          <wp:inline distB="19050" distT="19050" distL="19050" distR="19050">
            <wp:extent cx="985780" cy="249322"/>
            <wp:effectExtent b="0" l="0" r="0" t="0"/>
            <wp:docPr id="2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985780" cy="249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blue-heavy spectrum to achieve target sulforaphane levels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queries the LCA model to calculate the exact carbon penalty of that energy increase. The operator or the automated system can then adjust the lighting recipe, photoperiod, or switch to a higher-PPE fixture to balance nutritional output against the environmental bottom line.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dynamic integration essentially constructs a digital twin of the farming operation. Through the seamless synthesis of physiological phytonutrient data, infrastructural embodied carbon matrices, and real-time operational inputs, the Cotyledon software renders the environmental cost of biological optimization transparent and actionable in real-time. The vertical farm is no longer operating blindly; it is actively resolving the complex calculus of sustainable agriculture, simultaneously maximizing human nutritional yield while verifiably minimizing the planetary ecological cost.</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Microgreens Sulforaphane Benefits Explained (2026), </w:t>
      </w:r>
      <w:hyperlink r:id="rId24">
        <w:r w:rsidDel="00000000" w:rsidR="00000000" w:rsidRPr="00000000">
          <w:rPr>
            <w:rFonts w:ascii="Google Sans" w:cs="Google Sans" w:eastAsia="Google Sans" w:hAnsi="Google Sans"/>
            <w:color w:val="0000ee"/>
            <w:sz w:val="24"/>
            <w:szCs w:val="24"/>
            <w:u w:val="single"/>
            <w:rtl w:val="0"/>
          </w:rPr>
          <w:t xml:space="preserve">https://aquagertech.com/blogs/microgreens/sulforaphane-broccoli-microgreens</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Cycle Assessment (LCA) – Everything you need to know, </w:t>
      </w:r>
      <w:hyperlink r:id="rId25">
        <w:r w:rsidDel="00000000" w:rsidR="00000000" w:rsidRPr="00000000">
          <w:rPr>
            <w:rFonts w:ascii="Google Sans" w:cs="Google Sans" w:eastAsia="Google Sans" w:hAnsi="Google Sans"/>
            <w:color w:val="0000ee"/>
            <w:sz w:val="24"/>
            <w:szCs w:val="24"/>
            <w:u w:val="single"/>
            <w:rtl w:val="0"/>
          </w:rPr>
          <w:t xml:space="preserve">https://ecochain.com/blog/life-cycle-assessment-lca-guide/</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Cycle Assessment (LCA) - Knowledge Base - Ecoinvent, </w:t>
      </w:r>
      <w:hyperlink r:id="rId26">
        <w:r w:rsidDel="00000000" w:rsidR="00000000" w:rsidRPr="00000000">
          <w:rPr>
            <w:rFonts w:ascii="Google Sans" w:cs="Google Sans" w:eastAsia="Google Sans" w:hAnsi="Google Sans"/>
            <w:color w:val="0000ee"/>
            <w:sz w:val="24"/>
            <w:szCs w:val="24"/>
            <w:u w:val="single"/>
            <w:rtl w:val="0"/>
          </w:rPr>
          <w:t xml:space="preserve">https://support.ecoinvent.org/ecoinvent-use-cases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Life Cycle Assessment to Quantify the Environmental Impact of, </w:t>
      </w:r>
      <w:hyperlink r:id="rId27">
        <w:r w:rsidDel="00000000" w:rsidR="00000000" w:rsidRPr="00000000">
          <w:rPr>
            <w:rFonts w:ascii="Google Sans" w:cs="Google Sans" w:eastAsia="Google Sans" w:hAnsi="Google Sans"/>
            <w:color w:val="0000ee"/>
            <w:sz w:val="24"/>
            <w:szCs w:val="24"/>
            <w:u w:val="single"/>
            <w:rtl w:val="0"/>
          </w:rPr>
          <w:t xml:space="preserve">https://www.led-professional.com/resources-1/articles/on-life-cycle-assessment-to-quantify-the-environmental-impact-of-lighting-products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Cycle Assessment of a Prospective Technology for Building, </w:t>
      </w:r>
      <w:hyperlink r:id="rId28">
        <w:r w:rsidDel="00000000" w:rsidR="00000000" w:rsidRPr="00000000">
          <w:rPr>
            <w:rFonts w:ascii="Google Sans" w:cs="Google Sans" w:eastAsia="Google Sans" w:hAnsi="Google Sans"/>
            <w:color w:val="0000ee"/>
            <w:sz w:val="24"/>
            <w:szCs w:val="24"/>
            <w:u w:val="single"/>
            <w:rtl w:val="0"/>
          </w:rPr>
          <w:t xml:space="preserve">https://www.mdpi.com/2073-4433/13/8/1317</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Life Cycle Assessment of GrowOff Modular Vertical, </w:t>
      </w:r>
      <w:hyperlink r:id="rId29">
        <w:r w:rsidDel="00000000" w:rsidR="00000000" w:rsidRPr="00000000">
          <w:rPr>
            <w:rFonts w:ascii="Google Sans" w:cs="Google Sans" w:eastAsia="Google Sans" w:hAnsi="Google Sans"/>
            <w:color w:val="0000ee"/>
            <w:sz w:val="24"/>
            <w:szCs w:val="24"/>
            <w:u w:val="single"/>
            <w:rtl w:val="0"/>
          </w:rPr>
          <w:t xml:space="preserve">https://diva-portal.org/smash/get/diva2:1750912/FULLTEXT01.pdf</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Cycle Assessment of Various Filtering Media for Greywater,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https://www.researchgate.net/publication/348746908_Life_Cycle_Assessment_of_Various_Filtering_Media_for_Greywater_Treatment_Using_Greenwall_Filtration_System</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Life-Cycle Assessment in the Polymeric Sector - PMC - NIH,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https://pmc.ncbi.nlm.nih.gov/articles/PMC7361975/</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Eutrophication Potential - AgImpacts, </w:t>
      </w:r>
      <w:hyperlink r:id="rId32">
        <w:r w:rsidDel="00000000" w:rsidR="00000000" w:rsidRPr="00000000">
          <w:rPr>
            <w:rFonts w:ascii="Google Sans" w:cs="Google Sans" w:eastAsia="Google Sans" w:hAnsi="Google Sans"/>
            <w:color w:val="0000ee"/>
            <w:sz w:val="24"/>
            <w:szCs w:val="24"/>
            <w:u w:val="single"/>
            <w:rtl w:val="0"/>
          </w:rPr>
          <w:t xml:space="preserve">https://agimpacts.mit.edu/indicators/eutrophication-potential/</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Eutrophication potential - Designing Buildings Wiki, </w:t>
      </w:r>
      <w:hyperlink r:id="rId33">
        <w:r w:rsidDel="00000000" w:rsidR="00000000" w:rsidRPr="00000000">
          <w:rPr>
            <w:rFonts w:ascii="Google Sans" w:cs="Google Sans" w:eastAsia="Google Sans" w:hAnsi="Google Sans"/>
            <w:color w:val="0000ee"/>
            <w:sz w:val="24"/>
            <w:szCs w:val="24"/>
            <w:u w:val="single"/>
            <w:rtl w:val="0"/>
          </w:rPr>
          <w:t xml:space="preserve">https://www.designingbuildings.co.uk/wiki/Eutrophication_potential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Ecoinvent? - Meet the LCI Database - Ecochain, </w:t>
      </w:r>
      <w:hyperlink r:id="rId34">
        <w:r w:rsidDel="00000000" w:rsidR="00000000" w:rsidRPr="00000000">
          <w:rPr>
            <w:rFonts w:ascii="Google Sans" w:cs="Google Sans" w:eastAsia="Google Sans" w:hAnsi="Google Sans"/>
            <w:color w:val="0000ee"/>
            <w:sz w:val="24"/>
            <w:szCs w:val="24"/>
            <w:u w:val="single"/>
            <w:rtl w:val="0"/>
          </w:rPr>
          <w:t xml:space="preserve">https://ecochain.com/blog/what-is-ecoinvent/</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Cycle Assessment (LCA) – Conduct Studies with ecoinvent, </w:t>
      </w:r>
      <w:hyperlink r:id="rId35">
        <w:r w:rsidDel="00000000" w:rsidR="00000000" w:rsidRPr="00000000">
          <w:rPr>
            <w:rFonts w:ascii="Google Sans" w:cs="Google Sans" w:eastAsia="Google Sans" w:hAnsi="Google Sans"/>
            <w:color w:val="0000ee"/>
            <w:sz w:val="24"/>
            <w:szCs w:val="24"/>
            <w:u w:val="single"/>
            <w:rtl w:val="0"/>
          </w:rPr>
          <w:t xml:space="preserve">https://ecoinvent.org/life-cycle-assessment/</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with Ecoinvent &amp; WFLDB | AGRIBALYSE® documentation (EN), </w:t>
      </w:r>
      <w:hyperlink r:id="rId36">
        <w:r w:rsidDel="00000000" w:rsidR="00000000" w:rsidRPr="00000000">
          <w:rPr>
            <w:rFonts w:ascii="Google Sans" w:cs="Google Sans" w:eastAsia="Google Sans" w:hAnsi="Google Sans"/>
            <w:color w:val="0000ee"/>
            <w:sz w:val="24"/>
            <w:szCs w:val="24"/>
            <w:u w:val="single"/>
            <w:rtl w:val="0"/>
          </w:rPr>
          <w:t xml:space="preserve">https://doc.agribalyse.fr/documentation-en/agribalyse-program/link-with-ecoinvent-and-wfldb</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Cycle Assessment Method | AGRIBALYSE® documentation (EN), </w:t>
      </w:r>
      <w:hyperlink r:id="rId37">
        <w:r w:rsidDel="00000000" w:rsidR="00000000" w:rsidRPr="00000000">
          <w:rPr>
            <w:rFonts w:ascii="Google Sans" w:cs="Google Sans" w:eastAsia="Google Sans" w:hAnsi="Google Sans"/>
            <w:color w:val="0000ee"/>
            <w:sz w:val="24"/>
            <w:szCs w:val="24"/>
            <w:u w:val="single"/>
            <w:rtl w:val="0"/>
          </w:rPr>
          <w:t xml:space="preserve">https://doc.agribalyse.fr/documentation-en/data-use/life-cycle-assessment-method</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Agribalyse - openLCA Nexus: The source for LCA data sets, </w:t>
      </w:r>
      <w:hyperlink r:id="rId38">
        <w:r w:rsidDel="00000000" w:rsidR="00000000" w:rsidRPr="00000000">
          <w:rPr>
            <w:rFonts w:ascii="Google Sans" w:cs="Google Sans" w:eastAsia="Google Sans" w:hAnsi="Google Sans"/>
            <w:color w:val="0000ee"/>
            <w:sz w:val="24"/>
            <w:szCs w:val="24"/>
            <w:u w:val="single"/>
            <w:rtl w:val="0"/>
          </w:rPr>
          <w:t xml:space="preserve">https://nexus.openlca.org/database/Agribalyse</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LCA Commons - Ag Data Commons - Figshare - USDA, </w:t>
      </w:r>
      <w:hyperlink r:id="rId39">
        <w:r w:rsidDel="00000000" w:rsidR="00000000" w:rsidRPr="00000000">
          <w:rPr>
            <w:rFonts w:ascii="Google Sans" w:cs="Google Sans" w:eastAsia="Google Sans" w:hAnsi="Google Sans"/>
            <w:color w:val="0000ee"/>
            <w:sz w:val="24"/>
            <w:szCs w:val="24"/>
            <w:u w:val="single"/>
            <w:rtl w:val="0"/>
          </w:rPr>
          <w:t xml:space="preserve">https://agdatacommons.nal.usda.gov/articles/dataset/LCA_Commons/24660180</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the Federal LCA Commons | Life Cycle Assessment, </w:t>
      </w:r>
      <w:hyperlink r:id="rId40">
        <w:r w:rsidDel="00000000" w:rsidR="00000000" w:rsidRPr="00000000">
          <w:rPr>
            <w:rFonts w:ascii="Google Sans" w:cs="Google Sans" w:eastAsia="Google Sans" w:hAnsi="Google Sans"/>
            <w:color w:val="0000ee"/>
            <w:sz w:val="24"/>
            <w:szCs w:val="24"/>
            <w:u w:val="single"/>
            <w:rtl w:val="0"/>
          </w:rPr>
          <w:t xml:space="preserve">https://www.lcacommons.gov/</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Agri-footprint 5.0 - SimaPro, </w:t>
      </w:r>
      <w:hyperlink r:id="rId41">
        <w:r w:rsidDel="00000000" w:rsidR="00000000" w:rsidRPr="00000000">
          <w:rPr>
            <w:rFonts w:ascii="Google Sans" w:cs="Google Sans" w:eastAsia="Google Sans" w:hAnsi="Google Sans"/>
            <w:color w:val="0000ee"/>
            <w:sz w:val="24"/>
            <w:szCs w:val="24"/>
            <w:u w:val="single"/>
            <w:rtl w:val="0"/>
          </w:rPr>
          <w:t xml:space="preserve">https://simapro.com/wp-content/uploads/2020/10/Agri-Footprint-5.0-Part-2-Description-of-data.pdf</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PRODUCT DECLARATION - Ventilatieland, </w:t>
      </w:r>
      <w:hyperlink r:id="rId42">
        <w:r w:rsidDel="00000000" w:rsidR="00000000" w:rsidRPr="00000000">
          <w:rPr>
            <w:rFonts w:ascii="Google Sans" w:cs="Google Sans" w:eastAsia="Google Sans" w:hAnsi="Google Sans"/>
            <w:color w:val="0000ee"/>
            <w:sz w:val="24"/>
            <w:szCs w:val="24"/>
            <w:u w:val="single"/>
            <w:rtl w:val="0"/>
          </w:rPr>
          <w:t xml:space="preserve">https://www.ventilatieland.nl/static/uploads/pictures/original/other/sk22277_Environmental_product_declaration_EN.pdf</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PRODUCT DECLARATION - XL-BYGG, </w:t>
      </w:r>
      <w:hyperlink r:id="rId43">
        <w:r w:rsidDel="00000000" w:rsidR="00000000" w:rsidRPr="00000000">
          <w:rPr>
            <w:rFonts w:ascii="Google Sans" w:cs="Google Sans" w:eastAsia="Google Sans" w:hAnsi="Google Sans"/>
            <w:color w:val="0000ee"/>
            <w:sz w:val="24"/>
            <w:szCs w:val="24"/>
            <w:u w:val="single"/>
            <w:rtl w:val="0"/>
          </w:rPr>
          <w:t xml:space="preserve">https://www.xlbygg.se/media/attachments/806/00d/80600da6bcc48f432c478f9e2767727b.pdf</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PRODUCT DECLARATION - RSK Databasen, </w:t>
      </w:r>
      <w:hyperlink r:id="rId44">
        <w:r w:rsidDel="00000000" w:rsidR="00000000" w:rsidRPr="00000000">
          <w:rPr>
            <w:rFonts w:ascii="Google Sans" w:cs="Google Sans" w:eastAsia="Google Sans" w:hAnsi="Google Sans"/>
            <w:color w:val="0000ee"/>
            <w:sz w:val="24"/>
            <w:szCs w:val="24"/>
            <w:u w:val="single"/>
            <w:rtl w:val="0"/>
          </w:rPr>
          <w:t xml:space="preserve">https://www.rskdatabasen.se/infodocs/EPD/EPD_1061_8824003.pdf</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LED lighting on the nutritional properties and microbial, </w:t>
      </w:r>
      <w:hyperlink r:id="rId45">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https://www.frontiersin.org/journals/nutrition/articles/10.3389/fnut.2026.1869208/full</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Best Growing Mediums for Microgreens - Bootstrap Farmer, </w:t>
      </w:r>
      <w:hyperlink r:id="rId46">
        <w:r w:rsidDel="00000000" w:rsidR="00000000" w:rsidRPr="00000000">
          <w:rPr>
            <w:rFonts w:ascii="Google Sans" w:cs="Google Sans" w:eastAsia="Google Sans" w:hAnsi="Google Sans"/>
            <w:color w:val="0000ee"/>
            <w:sz w:val="24"/>
            <w:szCs w:val="24"/>
            <w:u w:val="single"/>
            <w:rtl w:val="0"/>
          </w:rPr>
          <w:t xml:space="preserve">https://www.bootstrapfarmer.com/blogs/microgreens/microgreens-growing-media</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food security through indoor vertical farming of microgreens, </w:t>
      </w:r>
      <w:hyperlink r:id="rId47">
        <w:r w:rsidDel="00000000" w:rsidR="00000000" w:rsidRPr="00000000">
          <w:rPr>
            <w:rFonts w:ascii="Google Sans" w:cs="Google Sans" w:eastAsia="Google Sans" w:hAnsi="Google Sans"/>
            <w:color w:val="0000ee"/>
            <w:sz w:val="24"/>
            <w:szCs w:val="24"/>
            <w:u w:val="single"/>
            <w:rtl w:val="0"/>
          </w:rPr>
          <w:t xml:space="preserve">https://www.frontiersin.org/journals/sustainable-food-systems/articles/10.3389/fsufs.2026.1809881/full</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Torf und Torfersatzprodukte im Vergleich - ZHAW, </w:t>
      </w:r>
      <w:hyperlink r:id="rId48">
        <w:r w:rsidDel="00000000" w:rsidR="00000000" w:rsidRPr="00000000">
          <w:rPr>
            <w:rFonts w:ascii="Google Sans" w:cs="Google Sans" w:eastAsia="Google Sans" w:hAnsi="Google Sans"/>
            <w:color w:val="0000ee"/>
            <w:sz w:val="24"/>
            <w:szCs w:val="24"/>
            <w:u w:val="single"/>
            <w:rtl w:val="0"/>
          </w:rPr>
          <w:t xml:space="preserve">https://www.zhaw.ch/storage/lsfm/institute-zentren/iunr/oekobilanzierung/eymann-2015-lca-torf.pdf</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climate change impacts of different strawberry, </w:t>
      </w:r>
      <w:hyperlink r:id="rId49">
        <w:r w:rsidDel="00000000" w:rsidR="00000000" w:rsidRPr="00000000">
          <w:rPr>
            <w:rFonts w:ascii="Google Sans" w:cs="Google Sans" w:eastAsia="Google Sans" w:hAnsi="Google Sans"/>
            <w:color w:val="0000ee"/>
            <w:sz w:val="24"/>
            <w:szCs w:val="24"/>
            <w:u w:val="single"/>
            <w:rtl w:val="0"/>
          </w:rPr>
          <w:t xml:space="preserve">https://aspace.agrif.bg.ac.rs/bitstream/handle/123456789/7746/bitstream_29123.pdf?sequence=1&amp;isAllowed=y</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organic agriculture: innovations, challenges,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https://pmc.ncbi.nlm.nih.gov/articles/PMC12827596/</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Growing Media for Microgreens: Soil, Coco Coir &amp; Mats, </w:t>
      </w:r>
      <w:hyperlink r:id="rId51">
        <w:r w:rsidDel="00000000" w:rsidR="00000000" w:rsidRPr="00000000">
          <w:rPr>
            <w:rFonts w:ascii="Google Sans" w:cs="Google Sans" w:eastAsia="Google Sans" w:hAnsi="Google Sans"/>
            <w:color w:val="0000ee"/>
            <w:sz w:val="24"/>
            <w:szCs w:val="24"/>
            <w:u w:val="single"/>
            <w:rtl w:val="0"/>
          </w:rPr>
          <w:t xml:space="preserve">https://mpseeds.eu/ultimate-guide-to-growing-media</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NATURAL FIBER-POLYOLEFIN COMPOSITES. MINI-REVIEW, </w:t>
      </w:r>
      <w:hyperlink r:id="rId52">
        <w:r w:rsidDel="00000000" w:rsidR="00000000" w:rsidRPr="00000000">
          <w:rPr>
            <w:rFonts w:ascii="Google Sans" w:cs="Google Sans" w:eastAsia="Google Sans" w:hAnsi="Google Sans"/>
            <w:color w:val="0000ee"/>
            <w:sz w:val="24"/>
            <w:szCs w:val="24"/>
            <w:u w:val="single"/>
            <w:rtl w:val="0"/>
          </w:rPr>
          <w:t xml:space="preserve">https://cellulosechemtechnol.ro/pdf/CCT7-8(2014)/p.599-611.pdf</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Bacterial-Retted Hemp Fiber/PLA Composites - MDPI, </w:t>
      </w:r>
      <w:hyperlink r:id="rId53">
        <w:r w:rsidDel="00000000" w:rsidR="00000000" w:rsidRPr="00000000">
          <w:rPr>
            <w:rFonts w:ascii="Google Sans" w:cs="Google Sans" w:eastAsia="Google Sans" w:hAnsi="Google Sans"/>
            <w:color w:val="0000ee"/>
            <w:sz w:val="24"/>
            <w:szCs w:val="24"/>
            <w:u w:val="single"/>
            <w:rtl w:val="0"/>
          </w:rPr>
          <w:t xml:space="preserve">https://www.mdpi.com/2227-9717/13/4/1000</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Coco Coir vs Hemp Grow Mats: An Honest Comparison | TerraFibre, </w:t>
      </w:r>
      <w:hyperlink r:id="rId54">
        <w:r w:rsidDel="00000000" w:rsidR="00000000" w:rsidRPr="00000000">
          <w:rPr>
            <w:rFonts w:ascii="Google Sans" w:cs="Google Sans" w:eastAsia="Google Sans" w:hAnsi="Google Sans"/>
            <w:color w:val="0000ee"/>
            <w:sz w:val="24"/>
            <w:szCs w:val="24"/>
            <w:u w:val="single"/>
            <w:rtl w:val="0"/>
          </w:rPr>
          <w:t xml:space="preserve">https://terrafibre.ca/pages/coco-coir-vs-hemp-grow-mats</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Growing Mats for Microgreens: A Handy Comparison, </w:t>
      </w:r>
      <w:hyperlink r:id="rId55">
        <w:r w:rsidDel="00000000" w:rsidR="00000000" w:rsidRPr="00000000">
          <w:rPr>
            <w:rFonts w:ascii="Google Sans" w:cs="Google Sans" w:eastAsia="Google Sans" w:hAnsi="Google Sans"/>
            <w:color w:val="0000ee"/>
            <w:sz w:val="24"/>
            <w:szCs w:val="24"/>
            <w:u w:val="single"/>
            <w:rtl w:val="0"/>
          </w:rPr>
          <w:t xml:space="preserve">https://rusticwise.com/best-growing-mats-for-microgreens/</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Manufacturing and Properties of Jute Fiber-Reinforced Polymer,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https://pmc.ncbi.nlm.nih.gov/articles/PMC11901065/</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Life Cycle Assessment of a Composite Component, </w:t>
      </w:r>
      <w:hyperlink r:id="rId57">
        <w:r w:rsidDel="00000000" w:rsidR="00000000" w:rsidRPr="00000000">
          <w:rPr>
            <w:rFonts w:ascii="Google Sans" w:cs="Google Sans" w:eastAsia="Google Sans" w:hAnsi="Google Sans"/>
            <w:color w:val="0000ee"/>
            <w:sz w:val="24"/>
            <w:szCs w:val="24"/>
            <w:u w:val="single"/>
            <w:rtl w:val="0"/>
          </w:rPr>
          <w:t xml:space="preserve">https://www.aidic.it/cet/13/32/288.pdf</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Bio-based materials as a robust solution for building renovation, </w:t>
      </w:r>
      <w:hyperlink r:id="rId58">
        <w:r w:rsidDel="00000000" w:rsidR="00000000" w:rsidRPr="00000000">
          <w:rPr>
            <w:rFonts w:ascii="Google Sans" w:cs="Google Sans" w:eastAsia="Google Sans" w:hAnsi="Google Sans"/>
            <w:color w:val="0000ee"/>
            <w:sz w:val="24"/>
            <w:szCs w:val="24"/>
            <w:u w:val="single"/>
            <w:rtl w:val="0"/>
          </w:rPr>
          <w:t xml:space="preserve">https://www.research-collection.ethz.ch/bitstreams/1151ecb3-4e28-4f23-b0b9-5fbc375f44b6/download</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Bio-based materials as a robust solution for building renovation, </w:t>
      </w:r>
      <w:hyperlink r:id="rId59">
        <w:r w:rsidDel="00000000" w:rsidR="00000000" w:rsidRPr="00000000">
          <w:rPr>
            <w:rFonts w:ascii="Google Sans" w:cs="Google Sans" w:eastAsia="Google Sans" w:hAnsi="Google Sans"/>
            <w:color w:val="0000ee"/>
            <w:sz w:val="24"/>
            <w:szCs w:val="24"/>
            <w:u w:val="single"/>
            <w:rtl w:val="0"/>
          </w:rPr>
          <w:t xml:space="preserve">https://arodes.hes-so.ch/record/10059/files/Padey_2022_bio-based_materials_robust_solution_building_renovation.pdf</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Cycle Assessment of a modular LED luminaire and quantified, </w:t>
      </w:r>
      <w:hyperlink r:id="rId60">
        <w:r w:rsidDel="00000000" w:rsidR="00000000" w:rsidRPr="00000000">
          <w:rPr>
            <w:rFonts w:ascii="Google Sans" w:cs="Google Sans" w:eastAsia="Google Sans" w:hAnsi="Google Sans"/>
            <w:color w:val="0000ee"/>
            <w:sz w:val="24"/>
            <w:szCs w:val="24"/>
            <w:u w:val="single"/>
            <w:rtl w:val="0"/>
          </w:rPr>
          <w:t xml:space="preserve">https://upcommons.upc.edu/bitstreams/7a8f3095-d7c1-4f9f-affb-7484099d6e76/download</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Preference for Microgreens in the Presence of LED, </w:t>
      </w:r>
      <w:hyperlink r:id="rId61">
        <w:r w:rsidDel="00000000" w:rsidR="00000000" w:rsidRPr="00000000">
          <w:rPr>
            <w:rFonts w:ascii="Google Sans" w:cs="Google Sans" w:eastAsia="Google Sans" w:hAnsi="Google Sans"/>
            <w:color w:val="0000ee"/>
            <w:sz w:val="24"/>
            <w:szCs w:val="24"/>
            <w:u w:val="single"/>
            <w:rtl w:val="0"/>
          </w:rPr>
          <w:t xml:space="preserve">https://journals.ashs.org/view/journals/hortsci/58/3/article-p327.xml</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Life-Cycle Assessment of Energy and Environmental Impacts of LED, </w:t>
      </w:r>
      <w:hyperlink r:id="rId62">
        <w:r w:rsidDel="00000000" w:rsidR="00000000" w:rsidRPr="00000000">
          <w:rPr>
            <w:rFonts w:ascii="Google Sans" w:cs="Google Sans" w:eastAsia="Google Sans" w:hAnsi="Google Sans"/>
            <w:color w:val="0000ee"/>
            <w:sz w:val="24"/>
            <w:szCs w:val="24"/>
            <w:u w:val="single"/>
            <w:rtl w:val="0"/>
          </w:rPr>
          <w:t xml:space="preserve">https://www.pnnl.gov/main/publications/external/technical_reports/pnnl-21443.pdf</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Barrina 4FT Plant Grow Lights 5000K Full Spectrum Daylight White, </w:t>
      </w:r>
      <w:hyperlink r:id="rId63">
        <w:r w:rsidDel="00000000" w:rsidR="00000000" w:rsidRPr="00000000">
          <w:rPr>
            <w:rFonts w:ascii="Google Sans" w:cs="Google Sans" w:eastAsia="Google Sans" w:hAnsi="Google Sans"/>
            <w:color w:val="0000ee"/>
            <w:sz w:val="24"/>
            <w:szCs w:val="24"/>
            <w:u w:val="single"/>
            <w:rtl w:val="0"/>
          </w:rPr>
          <w:t xml:space="preserve">https://www.lowes.com/pd/Barrina-4FT-Plant-Grow-Lights-5000K-Full-Spectrum-Daylight-White-252W-LED-T8-Grow-Light-Strips-6-Pack/8013252</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Barrina LED Grow Lights Instruction Manual - Full Spectrum T8, 3ft, </w:t>
      </w:r>
      <w:hyperlink r:id="rId64">
        <w:r w:rsidDel="00000000" w:rsidR="00000000" w:rsidRPr="00000000">
          <w:rPr>
            <w:rFonts w:ascii="Google Sans" w:cs="Google Sans" w:eastAsia="Google Sans" w:hAnsi="Google Sans"/>
            <w:color w:val="0000ee"/>
            <w:sz w:val="24"/>
            <w:szCs w:val="24"/>
            <w:u w:val="single"/>
            <w:rtl w:val="0"/>
          </w:rPr>
          <w:t xml:space="preserve">https://manuals.plus/asin/B0B76SJ5XF</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Barrina 4FT T8 Plant Grow Light Review, </w:t>
      </w:r>
      <w:hyperlink r:id="rId65">
        <w:r w:rsidDel="00000000" w:rsidR="00000000" w:rsidRPr="00000000">
          <w:rPr>
            <w:rFonts w:ascii="Google Sans" w:cs="Google Sans" w:eastAsia="Google Sans" w:hAnsi="Google Sans"/>
            <w:color w:val="0000ee"/>
            <w:sz w:val="24"/>
            <w:szCs w:val="24"/>
            <w:u w:val="single"/>
            <w:rtl w:val="0"/>
          </w:rPr>
          <w:t xml:space="preserve">https://www.letsallgrowcannabis.com/picks/grow-lights/barrina-4ft-t8-plant-grow-light-review/</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Wattage LED Grow Light Do You Need for a 4×4 Grow Tent?, </w:t>
      </w:r>
      <w:hyperlink r:id="rId66">
        <w:r w:rsidDel="00000000" w:rsidR="00000000" w:rsidRPr="00000000">
          <w:rPr>
            <w:rFonts w:ascii="Google Sans" w:cs="Google Sans" w:eastAsia="Google Sans" w:hAnsi="Google Sans"/>
            <w:color w:val="0000ee"/>
            <w:sz w:val="24"/>
            <w:szCs w:val="24"/>
            <w:u w:val="single"/>
            <w:rtl w:val="0"/>
          </w:rPr>
          <w:t xml:space="preserve">https://vivosun.com/growing_guide/right-led-wattage-for-4x4-grow-tent/</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Grow Lights Do You Need? - Vivosun, </w:t>
      </w:r>
      <w:hyperlink r:id="rId67">
        <w:r w:rsidDel="00000000" w:rsidR="00000000" w:rsidRPr="00000000">
          <w:rPr>
            <w:rFonts w:ascii="Google Sans" w:cs="Google Sans" w:eastAsia="Google Sans" w:hAnsi="Google Sans"/>
            <w:color w:val="0000ee"/>
            <w:sz w:val="24"/>
            <w:szCs w:val="24"/>
            <w:u w:val="single"/>
            <w:rtl w:val="0"/>
          </w:rPr>
          <w:t xml:space="preserve">https://vivosun.com/growing_guide/how-many-grow-lights-do-i-need/</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VIVOSUN 4 Pack AeroLight 400W LED Grow Light Review, </w:t>
      </w:r>
      <w:hyperlink r:id="rId68">
        <w:r w:rsidDel="00000000" w:rsidR="00000000" w:rsidRPr="00000000">
          <w:rPr>
            <w:rFonts w:ascii="Google Sans" w:cs="Google Sans" w:eastAsia="Google Sans" w:hAnsi="Google Sans"/>
            <w:color w:val="0000ee"/>
            <w:sz w:val="24"/>
            <w:szCs w:val="24"/>
            <w:u w:val="single"/>
            <w:rtl w:val="0"/>
          </w:rPr>
          <w:t xml:space="preserve">https://vivosun.com/growing_guide/vivosun-aerolight-grow-light-review/</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 Light Cost Calculator - Mars Hydro, </w:t>
      </w:r>
      <w:hyperlink r:id="rId69">
        <w:r w:rsidDel="00000000" w:rsidR="00000000" w:rsidRPr="00000000">
          <w:rPr>
            <w:rFonts w:ascii="Google Sans" w:cs="Google Sans" w:eastAsia="Google Sans" w:hAnsi="Google Sans"/>
            <w:color w:val="0000ee"/>
            <w:sz w:val="24"/>
            <w:szCs w:val="24"/>
            <w:u w:val="single"/>
            <w:rtl w:val="0"/>
          </w:rPr>
          <w:t xml:space="preserve">https://www.mars-hydro.com/grow-light-cost-calculator</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LED Grow Lights 2026: Efficiency and PPE Compared - Trimleaf, </w:t>
      </w:r>
      <w:hyperlink r:id="rId70">
        <w:r w:rsidDel="00000000" w:rsidR="00000000" w:rsidRPr="00000000">
          <w:rPr>
            <w:rFonts w:ascii="Google Sans" w:cs="Google Sans" w:eastAsia="Google Sans" w:hAnsi="Google Sans"/>
            <w:color w:val="0000ee"/>
            <w:sz w:val="24"/>
            <w:szCs w:val="24"/>
            <w:u w:val="single"/>
            <w:rtl w:val="0"/>
          </w:rPr>
          <w:t xml:space="preserve">https://trimleaf.com/blogs/guides/best-grow-lights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Nutritious Microgreens: All 18 Varieties Ranked (2026), </w:t>
      </w:r>
      <w:hyperlink r:id="rId71">
        <w:r w:rsidDel="00000000" w:rsidR="00000000" w:rsidRPr="00000000">
          <w:rPr>
            <w:rFonts w:ascii="Google Sans" w:cs="Google Sans" w:eastAsia="Google Sans" w:hAnsi="Google Sans"/>
            <w:color w:val="0000ee"/>
            <w:sz w:val="24"/>
            <w:szCs w:val="24"/>
            <w:u w:val="single"/>
            <w:rtl w:val="0"/>
          </w:rPr>
          <w:t xml:space="preserve">https://aquagertech.com/blogs/microgreens/microgreens-nutrition-comparison</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LED light treatments on the bioactive composition and, </w:t>
      </w:r>
      <w:hyperlink r:id="rId72">
        <w:r w:rsidDel="00000000" w:rsidR="00000000" w:rsidRPr="00000000">
          <w:rPr>
            <w:rFonts w:ascii="Google Sans" w:cs="Google Sans" w:eastAsia="Google Sans" w:hAnsi="Google Sans"/>
            <w:color w:val="0000ee"/>
            <w:sz w:val="24"/>
            <w:szCs w:val="24"/>
            <w:u w:val="single"/>
            <w:rtl w:val="0"/>
          </w:rPr>
          <w:t xml:space="preserve">https://www.frontiersin.org/journals/plant-science/articles/10.3389/fpls.2026.1834435/full</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 Light Recipe, PPFD and Spectrum Requirements for Microgreens, </w:t>
      </w:r>
      <w:hyperlink r:id="rId73">
        <w:r w:rsidDel="00000000" w:rsidR="00000000" w:rsidRPr="00000000">
          <w:rPr>
            <w:rFonts w:ascii="Google Sans" w:cs="Google Sans" w:eastAsia="Google Sans" w:hAnsi="Google Sans"/>
            <w:color w:val="0000ee"/>
            <w:sz w:val="24"/>
            <w:szCs w:val="24"/>
            <w:u w:val="single"/>
            <w:rtl w:val="0"/>
          </w:rPr>
          <w:t xml:space="preserve">https://ceaunion.com/blog/vertical-farming/led-light-recipe-ppfd-and-spectrum-requirements-for-microgreens</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 Fertilizer - Is it Worth Buying? - Garden Myths, </w:t>
      </w:r>
      <w:hyperlink r:id="rId74">
        <w:r w:rsidDel="00000000" w:rsidR="00000000" w:rsidRPr="00000000">
          <w:rPr>
            <w:rFonts w:ascii="Google Sans" w:cs="Google Sans" w:eastAsia="Google Sans" w:hAnsi="Google Sans"/>
            <w:color w:val="0000ee"/>
            <w:sz w:val="24"/>
            <w:szCs w:val="24"/>
            <w:u w:val="single"/>
            <w:rtl w:val="0"/>
          </w:rPr>
          <w:t xml:space="preserve">https://www.gardenmyths.com/fish-fertilizer-worth-buying/comment-page-3/</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cycle assessment of the LimoFish process for the ... - ChemRxiv, </w:t>
      </w:r>
      <w:hyperlink r:id="rId75">
        <w:r w:rsidDel="00000000" w:rsidR="00000000" w:rsidRPr="00000000">
          <w:rPr>
            <w:rFonts w:ascii="Google Sans" w:cs="Google Sans" w:eastAsia="Google Sans" w:hAnsi="Google Sans"/>
            <w:color w:val="0000ee"/>
            <w:sz w:val="24"/>
            <w:szCs w:val="24"/>
            <w:u w:val="single"/>
            <w:rtl w:val="0"/>
          </w:rPr>
          <w:t xml:space="preserve">https://chemrxiv.org/doi/pdf/10.26434/chemrxiv-2022-6c3fd</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Life Cycle and Environmental Cost Analysis in Denmark and, </w:t>
      </w:r>
      <w:hyperlink r:id="rId76">
        <w:r w:rsidDel="00000000" w:rsidR="00000000" w:rsidRPr="00000000">
          <w:rPr>
            <w:rFonts w:ascii="Google Sans" w:cs="Google Sans" w:eastAsia="Google Sans" w:hAnsi="Google Sans"/>
            <w:color w:val="0000ee"/>
            <w:sz w:val="24"/>
            <w:szCs w:val="24"/>
            <w:u w:val="single"/>
            <w:rtl w:val="0"/>
          </w:rPr>
          <w:t xml:space="preserve">https://pubs.acs.org/doi/10.1021/acsagscitech.5c01013</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organic fertilizers in soilless cultivation: a systematic review of, </w:t>
      </w:r>
      <w:hyperlink r:id="rId77">
        <w:r w:rsidDel="00000000" w:rsidR="00000000" w:rsidRPr="00000000">
          <w:rPr>
            <w:rFonts w:ascii="Google Sans" w:cs="Google Sans" w:eastAsia="Google Sans" w:hAnsi="Google Sans"/>
            <w:color w:val="0000ee"/>
            <w:sz w:val="24"/>
            <w:szCs w:val="24"/>
            <w:u w:val="single"/>
            <w:rtl w:val="0"/>
          </w:rPr>
          <w:t xml:space="preserve">https://www.frontiersin.org/journals/sustainability/articles/10.3389/frsus.2026.1775182/full</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Nutrients and Eutrophication | U.S. Geological Survey - USGS.gov, </w:t>
      </w:r>
      <w:hyperlink r:id="rId78">
        <w:r w:rsidDel="00000000" w:rsidR="00000000" w:rsidRPr="00000000">
          <w:rPr>
            <w:rFonts w:ascii="Google Sans" w:cs="Google Sans" w:eastAsia="Google Sans" w:hAnsi="Google Sans"/>
            <w:color w:val="0000ee"/>
            <w:sz w:val="24"/>
            <w:szCs w:val="24"/>
            <w:u w:val="single"/>
            <w:rtl w:val="0"/>
          </w:rPr>
          <w:t xml:space="preserve">https://www.usgs.gov/mission-areas/water-resources/science/nutrients-and-eutrophication</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Sources and Solutions: Agriculture | US EPA, </w:t>
      </w:r>
      <w:hyperlink r:id="rId79">
        <w:r w:rsidDel="00000000" w:rsidR="00000000" w:rsidRPr="00000000">
          <w:rPr>
            <w:rFonts w:ascii="Google Sans" w:cs="Google Sans" w:eastAsia="Google Sans" w:hAnsi="Google Sans"/>
            <w:color w:val="0000ee"/>
            <w:sz w:val="24"/>
            <w:szCs w:val="24"/>
            <w:u w:val="single"/>
            <w:rtl w:val="0"/>
          </w:rPr>
          <w:t xml:space="preserve">https://www.epa.gov/nutrientpollution/sources-and-solutions-agriculture</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Eutrophication Potential | Space4Water Portal, </w:t>
      </w:r>
      <w:hyperlink r:id="rId80">
        <w:r w:rsidDel="00000000" w:rsidR="00000000" w:rsidRPr="00000000">
          <w:rPr>
            <w:rFonts w:ascii="Google Sans" w:cs="Google Sans" w:eastAsia="Google Sans" w:hAnsi="Google Sans"/>
            <w:color w:val="0000ee"/>
            <w:sz w:val="24"/>
            <w:szCs w:val="24"/>
            <w:u w:val="single"/>
            <w:rtl w:val="0"/>
          </w:rPr>
          <w:t xml:space="preserve">https://www.space4water.org/water/eutrophication-potential</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Celebrating Our Roots: Legacy of Our Garden Members, </w:t>
      </w:r>
      <w:hyperlink r:id="rId81">
        <w:r w:rsidDel="00000000" w:rsidR="00000000" w:rsidRPr="00000000">
          <w:rPr>
            <w:rFonts w:ascii="Google Sans" w:cs="Google Sans" w:eastAsia="Google Sans" w:hAnsi="Google Sans"/>
            <w:color w:val="0000ee"/>
            <w:sz w:val="24"/>
            <w:szCs w:val="24"/>
            <w:u w:val="single"/>
            <w:rtl w:val="0"/>
          </w:rPr>
          <w:t xml:space="preserve">https://ngb.org/celebrating-members/</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global energy use patterns in major crop production, </w:t>
      </w:r>
      <w:hyperlink r:id="rId82">
        <w:r w:rsidDel="00000000" w:rsidR="00000000" w:rsidRPr="00000000">
          <w:rPr>
            <w:rFonts w:ascii="Google Sans" w:cs="Google Sans" w:eastAsia="Google Sans" w:hAnsi="Google Sans"/>
            <w:color w:val="0000ee"/>
            <w:sz w:val="24"/>
            <w:szCs w:val="24"/>
            <w:u w:val="single"/>
            <w:rtl w:val="0"/>
          </w:rPr>
          <w:t xml:space="preserve">https://pubs.rsc.org/va/article/1/5/662/794408/A-review-on-global-energy-use-patterns-in-major</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consumption in agriculture increased in 2016, driven mainly, </w:t>
      </w:r>
      <w:hyperlink r:id="rId83">
        <w:r w:rsidDel="00000000" w:rsidR="00000000" w:rsidRPr="00000000">
          <w:rPr>
            <w:rFonts w:ascii="Google Sans" w:cs="Google Sans" w:eastAsia="Google Sans" w:hAnsi="Google Sans"/>
            <w:color w:val="0000ee"/>
            <w:sz w:val="24"/>
            <w:szCs w:val="24"/>
            <w:u w:val="single"/>
            <w:rtl w:val="0"/>
          </w:rPr>
          <w:t xml:space="preserve">https://www.ers.usda.gov/data-products/charts-of-note/87964</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use efficiency in paddy cultivation in Punjab, </w:t>
      </w:r>
      <w:hyperlink r:id="rId84">
        <w:r w:rsidDel="00000000" w:rsidR="00000000" w:rsidRPr="00000000">
          <w:rPr>
            <w:rFonts w:ascii="Google Sans" w:cs="Google Sans" w:eastAsia="Google Sans" w:hAnsi="Google Sans"/>
            <w:color w:val="0000ee"/>
            <w:sz w:val="24"/>
            <w:szCs w:val="24"/>
            <w:u w:val="single"/>
            <w:rtl w:val="0"/>
          </w:rPr>
          <w:t xml:space="preserve">https://www.ecologyjournal.in/assets/archives/2021/vol3issue1/3-1-90-473.pdf</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of energy flow and environmental impacts of quinoa,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https://pmc.ncbi.nlm.nih.gov/articles/PMC7245589/</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Life Cycle Assessment of Organic and Chemical Fertilizers ... - MDPI, </w:t>
      </w:r>
      <w:hyperlink r:id="rId86">
        <w:r w:rsidDel="00000000" w:rsidR="00000000" w:rsidRPr="00000000">
          <w:rPr>
            <w:rFonts w:ascii="Google Sans" w:cs="Google Sans" w:eastAsia="Google Sans" w:hAnsi="Google Sans"/>
            <w:color w:val="0000ee"/>
            <w:sz w:val="24"/>
            <w:szCs w:val="24"/>
            <w:u w:val="single"/>
            <w:rtl w:val="0"/>
          </w:rPr>
          <w:t xml:space="preserve">https://www.mdpi.com/2071-1050/14/7/3912</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Organic Seed Production for Better Crops - LoginEKO, </w:t>
      </w:r>
      <w:hyperlink r:id="rId87">
        <w:r w:rsidDel="00000000" w:rsidR="00000000" w:rsidRPr="00000000">
          <w:rPr>
            <w:rFonts w:ascii="Google Sans" w:cs="Google Sans" w:eastAsia="Google Sans" w:hAnsi="Google Sans"/>
            <w:color w:val="0000ee"/>
            <w:sz w:val="24"/>
            <w:szCs w:val="24"/>
            <w:u w:val="single"/>
            <w:rtl w:val="0"/>
          </w:rPr>
          <w:t xml:space="preserve">https://www.logineko.com/knowledge/mastering-organic-seed-production-for-better-crops/</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life cycle analysis (LCA) primer for the agricultural community, </w:t>
      </w:r>
      <w:hyperlink r:id="rId88">
        <w:r w:rsidDel="00000000" w:rsidR="00000000" w:rsidRPr="00000000">
          <w:rPr>
            <w:rFonts w:ascii="Google Sans" w:cs="Google Sans" w:eastAsia="Google Sans" w:hAnsi="Google Sans"/>
            <w:color w:val="0000ee"/>
            <w:sz w:val="24"/>
            <w:szCs w:val="24"/>
            <w:u w:val="single"/>
            <w:rtl w:val="0"/>
          </w:rPr>
          <w:t xml:space="preserve">https://www.osti.gov/servlets/purl/1802622</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database of GHG emissions related to feed crops, </w:t>
      </w:r>
      <w:hyperlink r:id="rId89">
        <w:r w:rsidDel="00000000" w:rsidR="00000000" w:rsidRPr="00000000">
          <w:rPr>
            <w:rFonts w:ascii="Google Sans" w:cs="Google Sans" w:eastAsia="Google Sans" w:hAnsi="Google Sans"/>
            <w:color w:val="0000ee"/>
            <w:sz w:val="24"/>
            <w:szCs w:val="24"/>
            <w:u w:val="single"/>
            <w:rtl w:val="0"/>
          </w:rPr>
          <w:t xml:space="preserve">https://openknowledge.fao.org/server/api/core/bitstreams/c3b15795-3030-41c4-986e-31a090aa2ab4/content</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openLCA.org | openLCA is a free, professional Life Cycle, </w:t>
      </w:r>
      <w:hyperlink r:id="rId90">
        <w:r w:rsidDel="00000000" w:rsidR="00000000" w:rsidRPr="00000000">
          <w:rPr>
            <w:rFonts w:ascii="Google Sans" w:cs="Google Sans" w:eastAsia="Google Sans" w:hAnsi="Google Sans"/>
            <w:color w:val="0000ee"/>
            <w:sz w:val="24"/>
            <w:szCs w:val="24"/>
            <w:u w:val="single"/>
            <w:rtl w:val="0"/>
          </w:rPr>
          <w:t xml:space="preserve">https://www.openlca.org/</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Inter-process communication with openLCA, </w:t>
      </w:r>
      <w:hyperlink r:id="rId91">
        <w:r w:rsidDel="00000000" w:rsidR="00000000" w:rsidRPr="00000000">
          <w:rPr>
            <w:rFonts w:ascii="Google Sans" w:cs="Google Sans" w:eastAsia="Google Sans" w:hAnsi="Google Sans"/>
            <w:color w:val="0000ee"/>
            <w:sz w:val="24"/>
            <w:szCs w:val="24"/>
            <w:u w:val="single"/>
            <w:rtl w:val="0"/>
          </w:rPr>
          <w:t xml:space="preserve">https://greendelta.github.io/openLCA-ApiDoc/</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openLCA.org, </w:t>
      </w:r>
      <w:hyperlink r:id="rId92">
        <w:r w:rsidDel="00000000" w:rsidR="00000000" w:rsidRPr="00000000">
          <w:rPr>
            <w:rFonts w:ascii="Google Sans" w:cs="Google Sans" w:eastAsia="Google Sans" w:hAnsi="Google Sans"/>
            <w:color w:val="0000ee"/>
            <w:sz w:val="24"/>
            <w:szCs w:val="24"/>
            <w:u w:val="single"/>
            <w:rtl w:val="0"/>
          </w:rPr>
          <w:t xml:space="preserve">https://www.openlca.org/features/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 | openLCA.org, </w:t>
      </w:r>
      <w:hyperlink r:id="rId93">
        <w:r w:rsidDel="00000000" w:rsidR="00000000" w:rsidRPr="00000000">
          <w:rPr>
            <w:rFonts w:ascii="Google Sans" w:cs="Google Sans" w:eastAsia="Google Sans" w:hAnsi="Google Sans"/>
            <w:color w:val="0000ee"/>
            <w:sz w:val="24"/>
            <w:szCs w:val="24"/>
            <w:u w:val="single"/>
            <w:rtl w:val="0"/>
          </w:rPr>
          <w:t xml:space="preserve">https://www.openlca.org/concept/</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the PCF of My Vertical Farm in openLCA?, </w:t>
      </w:r>
      <w:hyperlink r:id="rId94">
        <w:r w:rsidDel="00000000" w:rsidR="00000000" w:rsidRPr="00000000">
          <w:rPr>
            <w:rFonts w:ascii="Google Sans" w:cs="Google Sans" w:eastAsia="Google Sans" w:hAnsi="Google Sans"/>
            <w:color w:val="0000ee"/>
            <w:sz w:val="24"/>
            <w:szCs w:val="24"/>
            <w:u w:val="single"/>
            <w:rtl w:val="0"/>
          </w:rPr>
          <w:t xml:space="preserve">https://ask.openlca.org/8778/how-to-calculate-the-pcf-of-my-vertical-farm-in-openlca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cacommons.gov/" TargetMode="External"/><Relationship Id="rId84" Type="http://schemas.openxmlformats.org/officeDocument/2006/relationships/hyperlink" Target="https://www.ecologyjournal.in/assets/archives/2021/vol3issue1/3-1-90-473.pdf" TargetMode="External"/><Relationship Id="rId83" Type="http://schemas.openxmlformats.org/officeDocument/2006/relationships/hyperlink" Target="https://www.ers.usda.gov/data-products/charts-of-note/87964" TargetMode="External"/><Relationship Id="rId42" Type="http://schemas.openxmlformats.org/officeDocument/2006/relationships/hyperlink" Target="https://www.ventilatieland.nl/static/uploads/pictures/original/other/sk22277_Environmental_product_declaration_EN.pdf" TargetMode="External"/><Relationship Id="rId86" Type="http://schemas.openxmlformats.org/officeDocument/2006/relationships/hyperlink" Target="https://www.mdpi.com/2071-1050/14/7/3912" TargetMode="External"/><Relationship Id="rId41" Type="http://schemas.openxmlformats.org/officeDocument/2006/relationships/hyperlink" Target="https://simapro.com/wp-content/uploads/2020/10/Agri-Footprint-5.0-Part-2-Description-of-data.pdf" TargetMode="External"/><Relationship Id="rId85" Type="http://schemas.openxmlformats.org/officeDocument/2006/relationships/hyperlink" Target="https://pmc.ncbi.nlm.nih.gov/articles/PMC7245589/" TargetMode="External"/><Relationship Id="rId44" Type="http://schemas.openxmlformats.org/officeDocument/2006/relationships/hyperlink" Target="https://www.rskdatabasen.se/infodocs/EPD/EPD_1061_8824003.pdf" TargetMode="External"/><Relationship Id="rId88" Type="http://schemas.openxmlformats.org/officeDocument/2006/relationships/hyperlink" Target="https://www.osti.gov/servlets/purl/1802622" TargetMode="External"/><Relationship Id="rId43" Type="http://schemas.openxmlformats.org/officeDocument/2006/relationships/hyperlink" Target="https://www.xlbygg.se/media/attachments/806/00d/80600da6bcc48f432c478f9e2767727b.pdf" TargetMode="External"/><Relationship Id="rId87" Type="http://schemas.openxmlformats.org/officeDocument/2006/relationships/hyperlink" Target="https://www.logineko.com/knowledge/mastering-organic-seed-production-for-better-crops/" TargetMode="External"/><Relationship Id="rId46" Type="http://schemas.openxmlformats.org/officeDocument/2006/relationships/hyperlink" Target="https://www.bootstrapfarmer.com/blogs/microgreens/microgreens-growing-media" TargetMode="External"/><Relationship Id="rId45" Type="http://schemas.openxmlformats.org/officeDocument/2006/relationships/hyperlink" Target="https://www.frontiersin.org/journals/nutrition/articles/10.3389/fnut.2026.1869208/full" TargetMode="External"/><Relationship Id="rId89" Type="http://schemas.openxmlformats.org/officeDocument/2006/relationships/hyperlink" Target="https://openknowledge.fao.org/server/api/core/bitstreams/c3b15795-3030-41c4-986e-31a090aa2ab4/content" TargetMode="External"/><Relationship Id="rId80" Type="http://schemas.openxmlformats.org/officeDocument/2006/relationships/hyperlink" Target="https://www.space4water.org/water/eutrophication-potential" TargetMode="External"/><Relationship Id="rId82" Type="http://schemas.openxmlformats.org/officeDocument/2006/relationships/hyperlink" Target="https://pubs.rsc.org/va/article/1/5/662/794408/A-review-on-global-energy-use-patterns-in-major" TargetMode="External"/><Relationship Id="rId81" Type="http://schemas.openxmlformats.org/officeDocument/2006/relationships/hyperlink" Target="https://ngb.org/celebrating-memb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zhaw.ch/storage/lsfm/institute-zentren/iunr/oekobilanzierung/eymann-2015-lca-torf.pdf" TargetMode="External"/><Relationship Id="rId47" Type="http://schemas.openxmlformats.org/officeDocument/2006/relationships/hyperlink" Target="https://www.frontiersin.org/journals/sustainable-food-systems/articles/10.3389/fsufs.2026.1809881/full" TargetMode="External"/><Relationship Id="rId49" Type="http://schemas.openxmlformats.org/officeDocument/2006/relationships/hyperlink" Target="https://aspace.agrif.bg.ac.rs/bitstream/handle/123456789/7746/bitstream_29123.pdf?sequence=1&amp;isAllowed=y"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png"/><Relationship Id="rId73" Type="http://schemas.openxmlformats.org/officeDocument/2006/relationships/hyperlink" Target="https://ceaunion.com/blog/vertical-farming/led-light-recipe-ppfd-and-spectrum-requirements-for-microgreens" TargetMode="External"/><Relationship Id="rId72" Type="http://schemas.openxmlformats.org/officeDocument/2006/relationships/hyperlink" Target="https://www.frontiersin.org/journals/plant-science/articles/10.3389/fpls.2026.1834435/full" TargetMode="External"/><Relationship Id="rId31" Type="http://schemas.openxmlformats.org/officeDocument/2006/relationships/hyperlink" Target="https://pmc.ncbi.nlm.nih.gov/articles/PMC7361975/" TargetMode="External"/><Relationship Id="rId75" Type="http://schemas.openxmlformats.org/officeDocument/2006/relationships/hyperlink" Target="https://chemrxiv.org/doi/pdf/10.26434/chemrxiv-2022-6c3fd" TargetMode="External"/><Relationship Id="rId30" Type="http://schemas.openxmlformats.org/officeDocument/2006/relationships/hyperlink" Target="https://www.researchgate.net/publication/348746908_Life_Cycle_Assessment_of_Various_Filtering_Media_for_Greywater_Treatment_Using_Greenwall_Filtration_System" TargetMode="External"/><Relationship Id="rId74" Type="http://schemas.openxmlformats.org/officeDocument/2006/relationships/hyperlink" Target="https://www.gardenmyths.com/fish-fertilizer-worth-buying/comment-page-3/" TargetMode="External"/><Relationship Id="rId33" Type="http://schemas.openxmlformats.org/officeDocument/2006/relationships/hyperlink" Target="https://www.designingbuildings.co.uk/wiki/Eutrophication_potential" TargetMode="External"/><Relationship Id="rId77" Type="http://schemas.openxmlformats.org/officeDocument/2006/relationships/hyperlink" Target="https://www.frontiersin.org/journals/sustainability/articles/10.3389/frsus.2026.1775182/full" TargetMode="External"/><Relationship Id="rId32" Type="http://schemas.openxmlformats.org/officeDocument/2006/relationships/hyperlink" Target="https://agimpacts.mit.edu/indicators/eutrophication-potential/" TargetMode="External"/><Relationship Id="rId76" Type="http://schemas.openxmlformats.org/officeDocument/2006/relationships/hyperlink" Target="https://pubs.acs.org/doi/10.1021/acsagscitech.5c01013" TargetMode="External"/><Relationship Id="rId35" Type="http://schemas.openxmlformats.org/officeDocument/2006/relationships/hyperlink" Target="https://ecoinvent.org/life-cycle-assessment/" TargetMode="External"/><Relationship Id="rId79" Type="http://schemas.openxmlformats.org/officeDocument/2006/relationships/hyperlink" Target="https://www.epa.gov/nutrientpollution/sources-and-solutions-agriculture" TargetMode="External"/><Relationship Id="rId34" Type="http://schemas.openxmlformats.org/officeDocument/2006/relationships/hyperlink" Target="https://ecochain.com/blog/what-is-ecoinvent/" TargetMode="External"/><Relationship Id="rId78" Type="http://schemas.openxmlformats.org/officeDocument/2006/relationships/hyperlink" Target="https://www.usgs.gov/mission-areas/water-resources/science/nutrients-and-eutrophication" TargetMode="External"/><Relationship Id="rId71" Type="http://schemas.openxmlformats.org/officeDocument/2006/relationships/hyperlink" Target="https://aquagertech.com/blogs/microgreens/microgreens-nutrition-comparison" TargetMode="External"/><Relationship Id="rId70" Type="http://schemas.openxmlformats.org/officeDocument/2006/relationships/hyperlink" Target="https://trimleaf.com/blogs/guides/best-grow-lights" TargetMode="External"/><Relationship Id="rId37" Type="http://schemas.openxmlformats.org/officeDocument/2006/relationships/hyperlink" Target="https://doc.agribalyse.fr/documentation-en/data-use/life-cycle-assessment-method" TargetMode="External"/><Relationship Id="rId36" Type="http://schemas.openxmlformats.org/officeDocument/2006/relationships/hyperlink" Target="https://doc.agribalyse.fr/documentation-en/agribalyse-program/link-with-ecoinvent-and-wfldb" TargetMode="External"/><Relationship Id="rId39" Type="http://schemas.openxmlformats.org/officeDocument/2006/relationships/hyperlink" Target="https://agdatacommons.nal.usda.gov/articles/dataset/LCA_Commons/24660180" TargetMode="External"/><Relationship Id="rId38" Type="http://schemas.openxmlformats.org/officeDocument/2006/relationships/hyperlink" Target="https://nexus.openlca.org/database/Agribalyse" TargetMode="External"/><Relationship Id="rId62" Type="http://schemas.openxmlformats.org/officeDocument/2006/relationships/hyperlink" Target="https://www.pnnl.gov/main/publications/external/technical_reports/pnnl-21443.pdf" TargetMode="External"/><Relationship Id="rId61" Type="http://schemas.openxmlformats.org/officeDocument/2006/relationships/hyperlink" Target="https://journals.ashs.org/view/journals/hortsci/58/3/article-p327.xml" TargetMode="External"/><Relationship Id="rId20" Type="http://schemas.openxmlformats.org/officeDocument/2006/relationships/image" Target="media/image3.png"/><Relationship Id="rId64" Type="http://schemas.openxmlformats.org/officeDocument/2006/relationships/hyperlink" Target="https://manuals.plus/asin/B0B76SJ5XF" TargetMode="External"/><Relationship Id="rId63" Type="http://schemas.openxmlformats.org/officeDocument/2006/relationships/hyperlink" Target="https://www.lowes.com/pd/Barrina-4FT-Plant-Grow-Lights-5000K-Full-Spectrum-Daylight-White-252W-LED-T8-Grow-Light-Strips-6-Pack/8013252" TargetMode="External"/><Relationship Id="rId22" Type="http://schemas.openxmlformats.org/officeDocument/2006/relationships/image" Target="media/image15.png"/><Relationship Id="rId66" Type="http://schemas.openxmlformats.org/officeDocument/2006/relationships/hyperlink" Target="https://vivosun.com/growing_guide/right-led-wattage-for-4x4-grow-tent/" TargetMode="External"/><Relationship Id="rId21" Type="http://schemas.openxmlformats.org/officeDocument/2006/relationships/image" Target="media/image12.png"/><Relationship Id="rId65" Type="http://schemas.openxmlformats.org/officeDocument/2006/relationships/hyperlink" Target="https://www.letsallgrowcannabis.com/picks/grow-lights/barrina-4ft-t8-plant-grow-light-review/" TargetMode="External"/><Relationship Id="rId24" Type="http://schemas.openxmlformats.org/officeDocument/2006/relationships/hyperlink" Target="https://aquagertech.com/blogs/microgreens/sulforaphane-broccoli-microgreens" TargetMode="External"/><Relationship Id="rId68" Type="http://schemas.openxmlformats.org/officeDocument/2006/relationships/hyperlink" Target="https://vivosun.com/growing_guide/vivosun-aerolight-grow-light-review/" TargetMode="External"/><Relationship Id="rId23" Type="http://schemas.openxmlformats.org/officeDocument/2006/relationships/image" Target="media/image13.png"/><Relationship Id="rId67" Type="http://schemas.openxmlformats.org/officeDocument/2006/relationships/hyperlink" Target="https://vivosun.com/growing_guide/how-many-grow-lights-do-i-need/" TargetMode="External"/><Relationship Id="rId60" Type="http://schemas.openxmlformats.org/officeDocument/2006/relationships/hyperlink" Target="https://upcommons.upc.edu/bitstreams/7a8f3095-d7c1-4f9f-affb-7484099d6e76/download" TargetMode="External"/><Relationship Id="rId26" Type="http://schemas.openxmlformats.org/officeDocument/2006/relationships/hyperlink" Target="https://support.ecoinvent.org/ecoinvent-use-cases" TargetMode="External"/><Relationship Id="rId25" Type="http://schemas.openxmlformats.org/officeDocument/2006/relationships/hyperlink" Target="https://ecochain.com/blog/life-cycle-assessment-lca-guide/" TargetMode="External"/><Relationship Id="rId69" Type="http://schemas.openxmlformats.org/officeDocument/2006/relationships/hyperlink" Target="https://www.mars-hydro.com/grow-light-cost-calculator" TargetMode="External"/><Relationship Id="rId28" Type="http://schemas.openxmlformats.org/officeDocument/2006/relationships/hyperlink" Target="https://www.mdpi.com/2073-4433/13/8/1317" TargetMode="External"/><Relationship Id="rId27" Type="http://schemas.openxmlformats.org/officeDocument/2006/relationships/hyperlink" Target="https://www.led-professional.com/resources-1/articles/on-life-cycle-assessment-to-quantify-the-environmental-impact-of-lighting-products" TargetMode="External"/><Relationship Id="rId29" Type="http://schemas.openxmlformats.org/officeDocument/2006/relationships/hyperlink" Target="https://diva-portal.org/smash/get/diva2:1750912/FULLTEXT01.pdf" TargetMode="External"/><Relationship Id="rId51" Type="http://schemas.openxmlformats.org/officeDocument/2006/relationships/hyperlink" Target="https://mpseeds.eu/ultimate-guide-to-growing-media" TargetMode="External"/><Relationship Id="rId50" Type="http://schemas.openxmlformats.org/officeDocument/2006/relationships/hyperlink" Target="https://pmc.ncbi.nlm.nih.gov/articles/PMC12827596/" TargetMode="External"/><Relationship Id="rId94" Type="http://schemas.openxmlformats.org/officeDocument/2006/relationships/hyperlink" Target="https://ask.openlca.org/8778/how-to-calculate-the-pcf-of-my-vertical-farm-in-openlca" TargetMode="External"/><Relationship Id="rId53" Type="http://schemas.openxmlformats.org/officeDocument/2006/relationships/hyperlink" Target="https://www.mdpi.com/2227-9717/13/4/1000" TargetMode="External"/><Relationship Id="rId52" Type="http://schemas.openxmlformats.org/officeDocument/2006/relationships/hyperlink" Target="https://cellulosechemtechnol.ro/pdf/CCT7-8(2014)/p.599-611.pdf" TargetMode="External"/><Relationship Id="rId11" Type="http://schemas.openxmlformats.org/officeDocument/2006/relationships/image" Target="media/image6.png"/><Relationship Id="rId55" Type="http://schemas.openxmlformats.org/officeDocument/2006/relationships/hyperlink" Target="https://rusticwise.com/best-growing-mats-for-microgreens/" TargetMode="External"/><Relationship Id="rId10" Type="http://schemas.openxmlformats.org/officeDocument/2006/relationships/image" Target="media/image9.png"/><Relationship Id="rId54" Type="http://schemas.openxmlformats.org/officeDocument/2006/relationships/hyperlink" Target="https://terrafibre.ca/pages/coco-coir-vs-hemp-grow-mats" TargetMode="External"/><Relationship Id="rId13" Type="http://schemas.openxmlformats.org/officeDocument/2006/relationships/image" Target="media/image14.png"/><Relationship Id="rId57" Type="http://schemas.openxmlformats.org/officeDocument/2006/relationships/hyperlink" Target="https://www.aidic.it/cet/13/32/288.pdf" TargetMode="External"/><Relationship Id="rId12" Type="http://schemas.openxmlformats.org/officeDocument/2006/relationships/image" Target="media/image17.png"/><Relationship Id="rId56" Type="http://schemas.openxmlformats.org/officeDocument/2006/relationships/hyperlink" Target="https://pmc.ncbi.nlm.nih.gov/articles/PMC11901065/" TargetMode="External"/><Relationship Id="rId91" Type="http://schemas.openxmlformats.org/officeDocument/2006/relationships/hyperlink" Target="https://greendelta.github.io/openLCA-ApiDoc/" TargetMode="External"/><Relationship Id="rId90" Type="http://schemas.openxmlformats.org/officeDocument/2006/relationships/hyperlink" Target="https://www.openlca.org/" TargetMode="External"/><Relationship Id="rId93" Type="http://schemas.openxmlformats.org/officeDocument/2006/relationships/hyperlink" Target="https://www.openlca.org/concept/" TargetMode="External"/><Relationship Id="rId92" Type="http://schemas.openxmlformats.org/officeDocument/2006/relationships/hyperlink" Target="https://www.openlca.org/features/" TargetMode="External"/><Relationship Id="rId15" Type="http://schemas.openxmlformats.org/officeDocument/2006/relationships/image" Target="media/image11.png"/><Relationship Id="rId59" Type="http://schemas.openxmlformats.org/officeDocument/2006/relationships/hyperlink" Target="https://arodes.hes-so.ch/record/10059/files/Padey_2022_bio-based_materials_robust_solution_building_renovation.pdf" TargetMode="External"/><Relationship Id="rId14" Type="http://schemas.openxmlformats.org/officeDocument/2006/relationships/image" Target="media/image16.png"/><Relationship Id="rId58" Type="http://schemas.openxmlformats.org/officeDocument/2006/relationships/hyperlink" Target="https://www.research-collection.ethz.ch/bitstreams/1151ecb3-4e28-4f23-b0b9-5fbc375f44b6/download" TargetMode="External"/><Relationship Id="rId17" Type="http://schemas.openxmlformats.org/officeDocument/2006/relationships/image" Target="media/image8.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