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2026-07-25 | Revision 17</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đã khóa CCR same-tensor erratum</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CCR SAME-TENSOR ERRATUM</w:t>
            </w:r>
          </w:p>
          <w:p>
            <w:pPr>
              <w:spacing w:before="0" w:after="20"/>
            </w:pPr>
            <w:r>
              <w:rPr>
                <w:rFonts w:ascii="Calibri" w:hAnsi="Calibri" w:eastAsia="Calibri"/>
                <w:b/>
                <w:color w:val="1F4D78"/>
                <w:sz w:val="28"/>
              </w:rPr>
              <w:t>Pre-code, no metric</w:t>
            </w:r>
          </w:p>
          <w:p>
            <w:pPr>
              <w:spacing w:before="0" w:after="0" w:line="240" w:lineRule="auto"/>
            </w:pPr>
            <w:r>
              <w:rPr>
                <w:rFonts w:ascii="Calibri" w:hAnsi="Calibri" w:eastAsia="Calibri"/>
                <w:color w:val="202124"/>
                <w:sz w:val="17"/>
              </w:rPr>
              <w:t>Giữ frozen desaturate_blur; cấm thêm CCR-specific preprocessing</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và file lệnh full-train tốt nhất. CAP rerun cùng lock đã hoàn tất formal, fresh-process replay và review đủ 20 hàng XAI nhưng bị loại: AUROC 0,560111, chỉ sửa 5 restricted FP và phá 14 TP lớp 1; macro/class-1 F1 giảm còn 0,937491/0,805643. Sau CAP, sáu họ Self-ONN, learnable morphology, PointNet/Deep Sets, DeepEMD/optimal transport, normalizing flow và hierarchical material recognition đều bị screen no-run vì trùng cơ chế, thiếu tín hiệu bề mặt lớp-điều-kiện hoặc không phù hợp deployment. Không integration, validation/test, probe/full train hoặc command update. Mọi classifier đề xuất vẫn scratch-only; pretrained baseline chỉ được dùng đối chiếu.</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widowControl/>
      </w:pPr>
      <w:r>
        <w:rPr>
          <w:rFonts w:ascii="Calibri" w:hAnsi="Calibri" w:eastAsia="Calibri"/>
          <w:color w:val="202124"/>
          <w:sz w:val="22"/>
        </w:rPr>
        <w:t>No-run screen ngày 25-07 là một cổng tiết kiệm tài nguyên, không phải metric mới. Successor kế tiếp phải tạo evidence map hoặc score cục bộ riêng cho 1-vs-0, 1-vs-2 và 1-vs-4 trên phần bề mặt hợp lệ trong bbox; phải thắng keeper margin và causal derangement ở cả giữ TP lớp 1 lẫn loại restricted FP trên source-held train folds; đồng thời có đường standard-op để đo latency mean/p95, throughput, VRAM, ONNX và TensorRT.</w:t>
      </w:r>
    </w:p>
    <w:p>
      <w:pPr>
        <w:widowControl/>
      </w:pPr>
      <w:r>
        <w:rPr>
          <w:rFonts w:ascii="Calibri" w:hAnsi="Calibri" w:eastAsia="Calibri"/>
          <w:color w:val="202124"/>
          <w:sz w:val="22"/>
        </w:rPr>
        <w:t>Revision 16 đã khóa Cross Colour Ratio (CCR) như một information gate train-only có thể bác bỏ, không phải model promotion. Cohort gồm 763 hàng/735 ảnh unique trong năm source-held folds; candidate phải thắng keeper margin, plain colour-ratio cùng kích thước, trained spatial dephase, same-weight dephase và seed repeat trên gate đồng thời về TP/FP/pairwise/replay. Giả định vật lý của CCR có thể bị phá bởi tone curve JPEG, auto-WB, clipping, bề mặt ướt hoặc phản xạ gương, vì vậy chưa có metric hay quyền integration/full train.</w:t>
      </w:r>
    </w:p>
    <w:p>
      <w:pPr>
        <w:widowControl/>
      </w:pPr>
      <w:r>
        <w:rPr>
          <w:rFonts w:ascii="Calibri" w:hAnsi="Calibri" w:eastAsia="Calibri"/>
          <w:color w:val="202124"/>
          <w:sz w:val="22"/>
        </w:rPr>
        <w:t>Revision 17 khóa erratum trước implementation: cùng tensor nghĩa là giữ nguyên frozen keeper eval transform, bao gồm desaturate_blur margin/blur 0,08/7,0 đã có sẵn; CCR không được thêm hoặc đổi suppression. Auditor phải dùng trực tiếp CIDT path và geometry đã khóa thay vì index toàn bộ nhãn train, rồi chứng minh crop-box/valid-mask parity trước descriptor. Erratum SHA f9a901b1...d03b; focused/full test 13/13 và 1938/1938, Word QA 16/16, accessibility 0/0/0; chưa có image pass, fit hay metric.</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763;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0,937491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0,699320 / 0,950092 / 0,805643</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AUROC 0,5601, net -9, XAI fail</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numPr>
          <w:ilvl w:val="0"/>
          <w:numId w:val="10"/>
        </w:numPr>
        <w:spacing w:after="160" w:line="280" w:lineRule="auto"/>
      </w:pPr>
      <w:r>
        <w:rPr>
          <w:rFonts w:ascii="Calibri" w:hAnsi="Calibri" w:eastAsia="Calibri"/>
          <w:color w:val="202124"/>
          <w:sz w:val="22"/>
        </w:rPr>
        <w:t>Scratch-only là ràng buộc cưỡng chế: chỉ mượn kiến trúc/phương trình; cấm nạp tham số pretrained/external vào classifier, teacher, router hoặc gói inference. Resume chỉ hợp lệ từ checkpoint TRKH scratch có provenance.</w:t>
      </w:r>
    </w:p>
    <w:p>
      <w:pPr>
        <w:widowControl/>
        <w:numPr>
          <w:ilvl w:val="0"/>
          <w:numId w:val="10"/>
        </w:numPr>
        <w:spacing w:after="160" w:line="280" w:lineRule="auto"/>
      </w:pPr>
      <w:r>
        <w:rPr>
          <w:rFonts w:ascii="Calibri" w:hAnsi="Calibri" w:eastAsia="Calibri"/>
          <w:color w:val="202124"/>
          <w:sz w:val="22"/>
        </w:rPr>
        <w:t>Ngoài CNN/Transformer đã đánh giá selective state-space Mamba, graph ViG, dynamic-routing capsule, recurrent/LSTM, NMF, covariance, quaternion, topology, morphology và frequency operators; chưa họ nào đủ gate production.</w:t>
      </w:r>
    </w:p>
    <w:p>
      <w:pPr>
        <w:widowControl/>
        <w:numPr>
          <w:ilvl w:val="0"/>
          <w:numId w:val="10"/>
        </w:numPr>
        <w:spacing w:after="160" w:line="280" w:lineRule="auto"/>
      </w:pPr>
      <w:r>
        <w:rPr>
          <w:rFonts w:ascii="Calibri" w:hAnsi="Calibri" w:eastAsia="Calibri"/>
          <w:color w:val="202124"/>
          <w:sz w:val="22"/>
        </w:rPr>
        <w:t>Mọi candidate kiến trúc phải so cùng keeper về parameter, batch-1 mean/p95, batch throughput, peak VRAM, ONNX parity và TensorRT feasibility; accuracy không được bù một deployment gate thất bại.</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tích phân phi chọn lọc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AUROC 0,560111 gần spatial control 0,560452, thấp hơn self-only 0,598809; sửa 5 FP nhưng phá 14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Context/region map không thay thế tín hiệu bề mặt lớp-điều-kiện; đóng neighborhood CAP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widowControl/>
        <w:numPr>
          <w:ilvl w:val="0"/>
          <w:numId w:val="10"/>
        </w:numPr>
        <w:spacing w:after="160" w:line="280" w:lineRule="auto"/>
      </w:pPr>
      <w:r>
        <w:rPr>
          <w:rFonts w:ascii="Calibri" w:hAnsi="Calibri" w:eastAsia="Calibri"/>
          <w:color w:val="202124"/>
          <w:sz w:val="22"/>
        </w:rPr>
        <w:t>CAP integral-region context: đóng exact region/order/layer/width/LSTM/NetVLAD/optimizer/epoch/seed/fold/threshold neighborhood; candidate không hơn derangements, seed không ổn định và manual XAI fail.</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AAAI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Pixel context, 27 integral regions, region attention, LSTM và residual-less NetVLAD; paper dùng pretrained và 150 epoch.</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scratch đã bị loại; không chuyển số 4,1 ms hoặc accuracy của ResNet-50/Titan V sang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I2-HOFI, IJCV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CNN-GNN với inter/intra-region high-order interaction; repo đề nghị GPU tối thiểu 16 GB và chưa phát hành inference script.</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trùng graph/context đã đóng và không phù hợp RTX 4060 8 GB.</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FMR / AD-Net,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Regularize magnitude của pretrained feature; augmented self-distillation cho low-data fine-tuning.</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No-run: FMR không đúng scratch failure, AD-Net trùng multi-view/distillation đã đóng.</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phân biệt logical traversal với physical NTFS hardlink.</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OOF 2,488 GiB có 96.768 hardlink/0 copy, là dependency được bảo vệ chứ không phải 2,488 GiB reclaimable.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Eval-LSTM XAI backend</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Chạy exact attribution path trong preflight; giữ eval mode và dùng native RNN khi cuDNN không hỗ trợ backward.</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lặp lại việc hoàn tất 30/30 job rồi mất toàn bộ formal artifact ở bước XAI cuối.</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Resource-value và inference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mechanism/evidence gap, time-VRAM-disk ceiling, stop/cleanup rule và latency-throughput-VRAM-ONNX/TensorRT budget trước run dài.</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Dừng thử nghiệm trùng họ, phân biệt negative evidence có tái sử dụng với chi phí vô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exact replay và one-shot finalization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mất 6150,613/5185,448 giây; mọi numeric error 0,0, ledger exact, 20/20 XAI được review.</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reproducibility khỏi utility: replay pass không cứu performance/causal/manual-XAI fail.</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Memory không đồng nghĩa inference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chỉ khóa 1.090.979 parameter và peak CUDA/RSS 0,281/1,869 GiB.</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tuyên bố inference pass khi chưa có mean/p95, throughput, end-to-end VRAM, ONNX và TensorRT.</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CAP closure verification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Focused/full test 28/28 và 1925/1925; Word QA 14/14, accessibility 0/0/0; retention 860 directory/51 manifest/220 original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Bảo toàn toàn bộ CAP evidence, không xóa artifact và khóa kết luận bằng retention SHA 99d1835a...04a636.</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prospective information gate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763 train-only rows/735 ảnh, năm source-held folds, plain colour-ratio và hai spatial-dephase controls trước candidate code.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A0 20 phút, dưới 2 GiB VRAM, không validation/test; chỉ mở XAI/inference khi toàn bộ clean conjunction pass.</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CCR same-tensor pre-code erratum</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frozen eval desaturate_blur 0,08/7,0; direct loader dùng CIDT path + locked geometry, không index toàn bộ label train.</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Loại ambiguity trước candidate code và buộc crop-box/valid-mask parity fail-closed.</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Bal-BCE và CAP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Bal-BCE và CAP neighborhoods; không mở lại bằng sweep lân cận sau kết quả.</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Bảo toàn CAP summary/replay/manual/final SHAs 824549d2/e9f21c59/197ca492/00263f23; exact replay pass nhưng performance, causal control và manual XAI fail.</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Không chạy kiến trúc mới trước khi có resource-value record và matched keeper inference contract; CAP là negative-but-reusable, không phải candidate production.</w:t>
      </w:r>
    </w:p>
    <w:p>
      <w:pPr>
        <w:widowControl/>
        <w:numPr>
          <w:ilvl w:val="0"/>
          <w:numId w:val="14"/>
        </w:numPr>
        <w:spacing w:after="160" w:line="280" w:lineRule="auto"/>
      </w:pPr>
      <w:r>
        <w:rPr>
          <w:rFonts w:ascii="Calibri" w:hAnsi="Calibri" w:eastAsia="Calibri"/>
          <w:color w:val="202124"/>
          <w:sz w:val="22"/>
        </w:rPr>
        <w:t>Bảo vệ OOF fold root: 2,488 GiB là logical size của 96.768 hardlink/0 copy và các path còn dependency; chỉ xét migration sau dependency proof.</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XAI và deployment gate.</w:t>
      </w:r>
    </w:p>
    <w:p>
      <w:pPr>
        <w:widowControl/>
        <w:numPr>
          <w:ilvl w:val="0"/>
          <w:numId w:val="14"/>
        </w:numPr>
        <w:spacing w:after="160" w:line="280" w:lineRule="auto"/>
      </w:pPr>
      <w:r>
        <w:rPr>
          <w:rFonts w:ascii="Calibri" w:hAnsi="Calibri" w:eastAsia="Calibri"/>
          <w:color w:val="202124"/>
          <w:sz w:val="22"/>
        </w:rPr>
        <w:t>Chọn successor chỉ khi equation-distinct, có sample-conditional surface evidence và khóa trước TP/FP, latency/p95/throughput/VRAM, ONNX/TensorRT.</w:t>
      </w:r>
    </w:p>
    <w:p>
      <w:pPr>
        <w:widowControl/>
        <w:numPr>
          <w:ilvl w:val="0"/>
          <w:numId w:val="14"/>
        </w:numPr>
        <w:spacing w:after="160" w:line="280" w:lineRule="auto"/>
      </w:pPr>
      <w:r>
        <w:rPr>
          <w:rFonts w:ascii="Calibri" w:hAnsi="Calibri" w:eastAsia="Calibri"/>
          <w:color w:val="202124"/>
          <w:sz w:val="22"/>
        </w:rPr>
        <w:t>Không mở lại sáu họ post-CAP bằng cách chỉ đổi width, order, pooling, solver hoặc head; tài liệu no-run ngày 25-07 là cổng resource-value bắt buộc.</w:t>
      </w:r>
    </w:p>
    <w:p>
      <w:pPr>
        <w:widowControl/>
        <w:numPr>
          <w:ilvl w:val="0"/>
          <w:numId w:val="14"/>
        </w:numPr>
        <w:spacing w:after="160" w:line="280" w:lineRule="auto"/>
      </w:pPr>
      <w:r>
        <w:rPr>
          <w:rFonts w:ascii="Calibri" w:hAnsi="Calibri" w:eastAsia="Calibri"/>
          <w:color w:val="202124"/>
          <w:sz w:val="22"/>
        </w:rPr>
        <w:t>Commit/push CCR protocol và machine lock trước candidate code; giữ bất biến SHA 1e408502...f347/6c2a604d...c835 và trạng thái chưa có metric.</w:t>
      </w:r>
    </w:p>
    <w:p>
      <w:pPr>
        <w:widowControl/>
        <w:numPr>
          <w:ilvl w:val="0"/>
          <w:numId w:val="14"/>
        </w:numPr>
        <w:spacing w:after="160" w:line="280" w:lineRule="auto"/>
      </w:pPr>
      <w:r>
        <w:rPr>
          <w:rFonts w:ascii="Calibri" w:hAnsi="Calibri" w:eastAsia="Calibri"/>
          <w:color w:val="202124"/>
          <w:sz w:val="22"/>
        </w:rPr>
        <w:t>Chỉ triển khai một independent CCR A0 sau prospective commit; dừng fail-closed trước robustness/XAI/inference nếu không thắng mọi clean information, causal và TP/FP gate.</w:t>
      </w:r>
    </w:p>
    <w:p>
      <w:pPr>
        <w:widowControl/>
        <w:numPr>
          <w:ilvl w:val="0"/>
          <w:numId w:val="14"/>
        </w:numPr>
        <w:spacing w:after="160" w:line="280" w:lineRule="auto"/>
      </w:pPr>
      <w:r>
        <w:rPr>
          <w:rFonts w:ascii="Calibri" w:hAnsi="Calibri" w:eastAsia="Calibri"/>
          <w:color w:val="202124"/>
          <w:sz w:val="22"/>
        </w:rPr>
        <w:t>Commit/push same-tensor erratum SHA f9a901b1...d03b trước engine code; không rewrite protocol/lock gốc và không dùng full dataset constructor trong CCR auditor.</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quả formal/replay/manual review, inference caveat, no-repeat boundary và hash CAP cuối.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docs/TRKH_5CLASS_CAP_INTEGRAL_REGION_CONTEXT_A0_XAI_ERRATUM_20260724.md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Zero-artifact failure evidence, native-RNN XAI correction và same-lock rerun rule.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docs/TRKH_5CLASS_SCRATCH_INFERENCE_RESOURCE_VALUE_AUDIT_20260724.md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Scratch provenance, non-CNN/Transformer review, storage inventory và mandatory resource/inference gate.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docs/TRKH_5CLASS_POST_CAP_SUCCESSOR_NO_RUN_SCREEN_20260725.md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Primary-source screen cho sáu họ successor, local-overlap map, deployment caveat và điều kiện mở lại.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docs/TRKH_5CLASS_CROSS_COLOUR_RATIO_SURFACE_A0_PROTOCOL_20260725.md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CCR equations, camera-assumption caveats, cohort/folds, controls, gates, XAI và resource/inference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docs/TRKH_5CLASS_CROSS_COLOUR_RATIO_SURFACE_A0_LOCK_20260725.json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Machine lock cho 763-row train-only cohort, source-held folds, dephase offsets, hashes và protected artifacts.</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scripts/build_trkh_cross_colour_ratio_surface_a0_lock.py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và check-only CCR prospective lock trước mọi candidate implementation hoặc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docs/TRKH_5CLASS_CROSS_COLOUR_RATIO_SURFACE_A0_PREIMPLEMENTATION_ERRATUM_20260725.md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Sửa ambiguity same-tensor trước code; pin frozen eval preprocessing và direct-loader crop/valid-mask parity.</w:t>
            </w:r>
          </w:p>
        </w:tc>
      </w:tr>
    </w:tbl>
    <w:p>
      <w:pPr>
        <w:spacing w:after="40"/>
      </w:pPr>
    </w:p>
    <w:p>
      <w:pPr>
        <w:widowControl/>
      </w:pPr>
      <w:r>
        <w:rPr>
          <w:rFonts w:ascii="Calibri" w:hAnsi="Calibri" w:eastAsia="Calibri"/>
          <w:color w:val="202124"/>
          <w:sz w:val="22"/>
        </w:rPr>
        <w:t>Revision 1-3 dựng báo cáo tái lập, full-train/JPEG-DL và synthetic policy. Revision 4-10 đóng SaSPA, LP-A3, NSA, RN-LISDA và Bal-BCE bằng fidelity, causal control, replay và TP/FP gates. Revision 11-14 khóa CAP trước metric, sửa audit-only eval-LSTM, rồi hoàn tất same-lock formal/replay/manual review; CAP đóng negative-but-reusable và retention pass tại SHA 99d1835a...04a636. Revision 15 screen no-run sáu họ successor và cô lập regression OOXML hyperlink. Revision 16 khóa CCR train-only tại protocol/lock SHA 1e408502...f347/6c2a604d...c835, thêm write guard/full-payload check-only; focused/full test 9/9 và 1934/1934, visual/accessibility 16/16 và 0/0/0. Revision 17 khóa same-tensor/direct-loader erratum SHA f9a901b1...d03b trước implementation; focused/full test 13/13 và 1938/1938, visual/accessibility 16/16 và 0/0/0; chưa có image pass, fit, metric, validation/test, production edit hoặc command update.</w:t>
      </w:r>
    </w:p>
    <w:p>
      <w:pPr>
        <w:pStyle w:val="Heading1"/>
        <w:keepNext/>
      </w:pPr>
      <w:r>
        <w:t>15. Tài liệu chính đối chiếu</w:t>
      </w:r>
    </w:p>
    <w:p>
      <w:pPr>
        <w:keepLines/>
        <w:widowControl/>
        <w:numPr>
          <w:ilvl w:val="0"/>
          <w:numId w:val="15"/>
        </w:numPr>
        <w:spacing w:after="20" w:line="252"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I2-HOFI, International Journal of Computer Vision 2024</w:t>
      </w:r>
      <w:r>
        <w:rPr>
          <w:rFonts w:ascii="Calibri" w:hAnsi="Calibri" w:eastAsia="Calibri"/>
          <w:color w:val="202124"/>
          <w:sz w:val="21"/>
        </w:rPr>
        <w:t xml:space="preserve"> - CNN-GNN high-order region interaction; screened no-run vì overlap và resource/inference gap. </w:t>
      </w:r>
      <w:hyperlink r:id="rId29">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Feature Magnitude Regularization, 2024</w:t>
      </w:r>
      <w:r>
        <w:rPr>
          <w:rFonts w:ascii="Calibri" w:hAnsi="Calibri" w:eastAsia="Calibri"/>
          <w:color w:val="202124"/>
          <w:sz w:val="21"/>
        </w:rPr>
        <w:t xml:space="preserve"> - Low-data pretrained-feature regularization; motivating bias không khớp scratch TRKH. </w:t>
      </w:r>
      <w:hyperlink r:id="rId30">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AD-Net: Extract More from Less, BMVC 2024</w:t>
      </w:r>
      <w:r>
        <w:rPr>
          <w:rFonts w:ascii="Calibri" w:hAnsi="Calibri" w:eastAsia="Calibri"/>
          <w:color w:val="202124"/>
          <w:sz w:val="21"/>
        </w:rPr>
        <w:t xml:space="preserve"> - Augmentation và self-distillation cho low-data; screened no-run vì overlap. </w:t>
      </w:r>
      <w:hyperlink r:id="rId31">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Self-Organized Operational Neural Networks for Severe Image Restoration</w:t>
      </w:r>
      <w:r>
        <w:rPr>
          <w:rFonts w:ascii="Calibri" w:hAnsi="Calibri" w:eastAsia="Calibri"/>
          <w:color w:val="202124"/>
          <w:sz w:val="21"/>
        </w:rPr>
        <w:t xml:space="preserve"> - Taylor-polynomial operational neurons; screen no-run vì evidence chính là restoration và overlap higher-order stem. </w:t>
      </w:r>
      <w:hyperlink r:id="rId32">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Morphological Network: How Far Can We Go with Morphological Neurons?, BMVC 2022</w:t>
      </w:r>
      <w:r>
        <w:rPr>
          <w:rFonts w:ascii="Calibri" w:hAnsi="Calibri" w:eastAsia="Calibri"/>
          <w:color w:val="202124"/>
          <w:sz w:val="21"/>
        </w:rPr>
        <w:t xml:space="preserve"> - Learnable dilation/erosion; theory và experiment chính bị giới hạn ở whole-input 1D, chưa chứng minh surface selectivity cho TRKH. </w:t>
      </w:r>
      <w:hyperlink r:id="rId33">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PointNet, CVPR 2017</w:t>
      </w:r>
      <w:r>
        <w:rPr>
          <w:rFonts w:ascii="Calibri" w:hAnsi="Calibri" w:eastAsia="Calibri"/>
          <w:color w:val="202124"/>
          <w:sz w:val="21"/>
        </w:rPr>
        <w:t xml:space="preserve"> - Permutation-invariant 3D point-set model; không khớp regular 2D fruit surface và overlap patch-set aggregation. </w:t>
      </w:r>
      <w:hyperlink r:id="rId34">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DeepEMD, CVPR 2020</w:t>
      </w:r>
      <w:r>
        <w:rPr>
          <w:rFonts w:ascii="Calibri" w:hAnsi="Calibri" w:eastAsia="Calibri"/>
          <w:color w:val="202124"/>
          <w:sz w:val="21"/>
        </w:rPr>
        <w:t xml:space="preserve"> - Few-shot optimal patch matching; local DeepEMD/DN4/Sinkhorn neighborhood đã screen với patch-prototype closure. </w:t>
      </w:r>
      <w:hyperlink r:id="rId35">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Why Normalizing Flows Fail to Detect Out-of-Distribution Data, NeurIPS 2020</w:t>
      </w:r>
      <w:r>
        <w:rPr>
          <w:rFonts w:ascii="Calibri" w:hAnsi="Calibri" w:eastAsia="Calibri"/>
          <w:color w:val="202124"/>
          <w:sz w:val="21"/>
        </w:rPr>
        <w:t xml:space="preserve"> - Flow likelihood có thể học local pixel correlation thay vì semantics; không mở lại density route đã fail. </w:t>
      </w:r>
      <w:hyperlink r:id="rId36">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Hierarchical Material Recognition from Local Appearance, ICCV 2025</w:t>
      </w:r>
      <w:r>
        <w:rPr>
          <w:rFonts w:ascii="Calibri" w:hAnsi="Calibri" w:eastAsia="Calibri"/>
          <w:color w:val="202124"/>
          <w:sz w:val="21"/>
        </w:rPr>
        <w:t xml:space="preserve"> - Dựa trên taxonomy graph, depth và context không tồn tại tương đương trong TRKH; graph/context neighborhood đã đóng. </w:t>
      </w:r>
      <w:hyperlink r:id="rId37">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Color-Based Object Recognition, Pattern Recognition 1999</w:t>
      </w:r>
      <w:r>
        <w:rPr>
          <w:rFonts w:ascii="Calibri" w:hAnsi="Calibri" w:eastAsia="Calibri"/>
          <w:color w:val="202124"/>
          <w:sz w:val="21"/>
        </w:rPr>
        <w:t xml:space="preserve"> - Nguồn phương trình cross colour ratio, Gaussian derivative sigma=1 và các giả định invariance dùng cho CCR A0. </w:t>
      </w:r>
      <w:hyperlink r:id="rId38">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Invariant Descriptors for Intrinsic Image Decomposition, JOSA A 2021</w:t>
      </w:r>
      <w:r>
        <w:rPr>
          <w:rFonts w:ascii="Calibri" w:hAnsi="Calibri" w:eastAsia="Calibri"/>
          <w:color w:val="202124"/>
          <w:sz w:val="21"/>
        </w:rPr>
        <w:t xml:space="preserve"> - Đối chiếu log cross-colour ratios, reflectance edge evidence và giới hạn từ image-formation assumptions. </w:t>
      </w:r>
      <w:hyperlink r:id="rId39">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IDTransformer, ICCV Workshop 2023</w:t>
      </w:r>
      <w:r>
        <w:rPr>
          <w:rFonts w:ascii="Calibri" w:hAnsi="Calibri" w:eastAsia="Calibri"/>
          <w:color w:val="202124"/>
          <w:sz w:val="21"/>
        </w:rPr>
        <w:t xml:space="preserve"> - Bối cảnh học intrinsic decomposition; project page chưa cung cấp code nên TRKH không copy/import implementation. </w:t>
      </w:r>
      <w:hyperlink r:id="rId40">
        <w:r>
          <w:rPr>
            <w:rFonts w:ascii="Calibri" w:hAnsi="Calibri" w:eastAsia="Calibri"/>
            <w:color w:val="2E74B5"/>
            <w:u w:val="single"/>
          </w:rPr>
          <w:t>Mở nguồn</w:t>
        </w:r>
      </w:hyperlink>
    </w:p>
    <w:p>
      <w:pPr>
        <w:keepLines/>
        <w:widowControl/>
        <w:numPr>
          <w:ilvl w:val="0"/>
          <w:numId w:val="15"/>
        </w:numPr>
        <w:spacing w:after="20" w:line="252"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41">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link.springer.com/article/10.1007/s11263-024-02260-y" TargetMode="External"/><Relationship Id="rId30" Type="http://schemas.openxmlformats.org/officeDocument/2006/relationships/hyperlink" Target="https://arxiv.org/abs/2409.01672" TargetMode="External"/><Relationship Id="rId31" Type="http://schemas.openxmlformats.org/officeDocument/2006/relationships/hyperlink" Target="https://arxiv.org/abs/2406.19814" TargetMode="External"/><Relationship Id="rId32" Type="http://schemas.openxmlformats.org/officeDocument/2006/relationships/hyperlink" Target="https://arxiv.org/abs/2008.12894" TargetMode="External"/><Relationship Id="rId33" Type="http://schemas.openxmlformats.org/officeDocument/2006/relationships/hyperlink" Target="https://bmvc2022.mpi-inf.mpg.de/0779.pdf" TargetMode="External"/><Relationship Id="rId34" Type="http://schemas.openxmlformats.org/officeDocument/2006/relationships/hyperlink" Target="https://openaccess.thecvf.com/content_cvpr_2017/html/Qi_PointNet_Deep_Learning_CVPR_2017_paper.html" TargetMode="External"/><Relationship Id="rId35" Type="http://schemas.openxmlformats.org/officeDocument/2006/relationships/hyperlink" Target="https://openaccess.thecvf.com/content_CVPR_2020/html/Zhang_DeepEMD_Few-Shot_Image_Classification_With_Differentiable_Earth_Movers_Distance_and_CVPR_2020_paper.html" TargetMode="External"/><Relationship Id="rId36" Type="http://schemas.openxmlformats.org/officeDocument/2006/relationships/hyperlink" Target="https://proceedings.neurips.cc/paper/2020/hash/ecb9fe2fbb99c31f567e9823e884dbec-Abstract.html" TargetMode="External"/><Relationship Id="rId37" Type="http://schemas.openxmlformats.org/officeDocument/2006/relationships/hyperlink" Target="https://openaccess.thecvf.com/content/ICCV2025/html/Beveridge_Hierarchical_Material_Recognition_from_Local_Appearance_ICCV_2025_paper.html" TargetMode="External"/><Relationship Id="rId38" Type="http://schemas.openxmlformats.org/officeDocument/2006/relationships/hyperlink" Target="https://staff.fnwi.uva.nl/th.gevers/pub/GeversPR99.pdf" TargetMode="External"/><Relationship Id="rId39" Type="http://schemas.openxmlformats.org/officeDocument/2006/relationships/hyperlink" Target="https://arxiv.org/abs/2204.04076" TargetMode="External"/><Relationship Id="rId40" Type="http://schemas.openxmlformats.org/officeDocument/2006/relationships/hyperlink" Target="https://openaccess.thecvf.com/content/ICCV2023W/NIVT/html/Das_IDTransformer_Transformer_for_Intrinsic_Image_Decomposition_ICCVW_2023_paper.html" TargetMode="External"/><Relationship Id="rId41"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17; standard_business_brief + memo_masthead</dc:description>
  <cp:lastModifiedBy/>
  <cp:revision>1</cp:revision>
  <dcterms:created xsi:type="dcterms:W3CDTF">2013-12-23T23:15:00Z</dcterms:created>
  <dcterms:modified xsi:type="dcterms:W3CDTF">2013-12-23T23:15:00Z</dcterms:modified>
  <cp:category/>
</cp:coreProperties>
</file>