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40" w:before="0"/>
        <w:jc w:val="center"/>
      </w:pPr>
      <w:r>
        <w:rPr>
          <w:rFonts w:ascii="Arial" w:cs="Arial" w:eastAsia="Arial" w:hAnsi="Arial"/>
          <w:b/>
          <w:bCs/>
          <w:color w:val="1A6B55"/>
          <w:sz w:val="64"/>
          <w:szCs w:val="64"/>
        </w:rPr>
        <w:t xml:space="preserve">⌚  POCKET WATCH</w:t>
      </w:r>
    </w:p>
    <w:p>
      <w:pPr>
        <w:spacing w:after="160" w:before="0"/>
        <w:jc w:val="center"/>
      </w:pPr>
      <w:r>
        <w:rPr>
          <w:rFonts w:ascii="Arial" w:cs="Arial" w:eastAsia="Arial" w:hAnsi="Arial"/>
          <w:color w:val="718096"/>
          <w:sz w:val="36"/>
          <w:szCs w:val="36"/>
        </w:rPr>
        <w:t xml:space="preserve">Strategic Analysis &amp; Product Roadmap</w:t>
      </w:r>
    </w:p>
    <w:p>
      <w:pPr>
        <w:pBdr>
          <w:bottom w:val="single" w:color="1A6B55" w:sz="4" w:space="1"/>
        </w:pBdr>
        <w:spacing w:after="400" w:before="0"/>
        <w:jc w:val="center"/>
      </w:pPr>
    </w:p>
    <w:p>
      <w:pPr>
        <w:spacing w:after="80" w:before="0"/>
        <w:jc w:val="center"/>
      </w:pPr>
      <w:r>
        <w:rPr>
          <w:rFonts w:ascii="Arial" w:cs="Arial" w:eastAsia="Arial" w:hAnsi="Arial"/>
          <w:color w:val="718096"/>
          <w:sz w:val="24"/>
          <w:szCs w:val="24"/>
        </w:rPr>
        <w:t xml:space="preserve">Prepared May 2026</w:t>
      </w:r>
    </w:p>
    <w:p>
      <w:pPr>
        <w:spacing w:after="80" w:before="0"/>
        <w:jc w:val="center"/>
      </w:pPr>
      <w:r>
        <w:rPr>
          <w:rFonts w:ascii="Arial" w:cs="Arial" w:eastAsia="Arial" w:hAnsi="Arial"/>
          <w:b/>
          <w:bCs/>
          <w:color w:val="D97706"/>
          <w:sz w:val="20"/>
          <w:szCs w:val="20"/>
        </w:rPr>
        <w:t xml:space="preserve">CONFIDENTIAL  ·  INTERNAL USE</w:t>
      </w:r>
    </w:p>
    <w:p>
      <w:pPr>
        <w:spacing w:after="0" w:before="2400"/>
        <w:jc w:val="center"/>
      </w:pPr>
      <w:r>
        <w:rPr>
          <w:rFonts w:ascii="Arial" w:cs="Arial" w:eastAsia="Arial" w:hAnsi="Arial"/>
          <w:i/>
          <w:iCs/>
          <w:color w:val="718096"/>
          <w:sz w:val="20"/>
          <w:szCs w:val="20"/>
        </w:rPr>
        <w:t xml:space="preserve">Competitive Analysis  ·  Security Audit  ·  Roadmap  ·  Big Picture Vision</w:t>
      </w:r>
    </w:p>
    <w:p>
      <w:r>
        <w:br w:type="page"/>
      </w:r>
    </w:p>
    <w:p>
      <w:pPr>
        <w:spacing w:after="240" w:before="0"/>
      </w:pPr>
      <w:r>
        <w:t xml:space="preserve"/>
      </w:r>
    </w:p>
    <w:p>
      <w:pPr>
        <w:pStyle w:val="Heading1"/>
        <w:spacing w:after="80" w:before="360"/>
      </w:pPr>
      <w:r>
        <w:rPr>
          <w:rFonts w:ascii="Arial" w:cs="Arial" w:eastAsia="Arial" w:hAnsi="Arial"/>
          <w:b/>
          <w:bCs/>
          <w:color w:val="1A6B55"/>
          <w:sz w:val="32"/>
          <w:szCs w:val="32"/>
        </w:rPr>
        <w:t xml:space="preserve">Executive Summary</w:t>
      </w:r>
    </w:p>
    <w:p>
      <w:pPr>
        <w:pBdr>
          <w:bottom w:val="single" w:color="1A6B55" w:sz="6" w:space="1"/>
        </w:pBdr>
        <w:spacing w:after="120" w:before="0"/>
      </w:pPr>
    </w:p>
    <w:p>
      <w:pPr>
        <w:spacing w:after="140" w:before="0"/>
      </w:pPr>
      <w:r>
        <w:rPr>
          <w:rFonts w:ascii="Arial" w:cs="Arial" w:eastAsia="Arial" w:hAnsi="Arial"/>
          <w:b/>
          <w:bCs/>
          <w:color w:val="1A6B55"/>
          <w:sz w:val="22"/>
          <w:szCs w:val="22"/>
        </w:rPr>
        <w:t xml:space="preserve">Pocket Watch </w:t>
      </w:r>
      <w:r>
        <w:rPr>
          <w:rFonts w:ascii="Arial" w:cs="Arial" w:eastAsia="Arial" w:hAnsi="Arial"/>
          <w:color w:val="2D3748"/>
          <w:sz w:val="22"/>
          <w:szCs w:val="22"/>
        </w:rPr>
        <w:t xml:space="preserve">is a privacy-first personal finance desktop application built on Tauri 2.x (Rust + React 19). It stores all data locally in a single user-controlled JSON file — no cloud accounts, no subscriptions, no data sharing. The application targets </w:t>
      </w:r>
      <w:r>
        <w:rPr>
          <w:rFonts w:ascii="Arial" w:cs="Arial" w:eastAsia="Arial" w:hAnsi="Arial"/>
          <w:b/>
          <w:bCs/>
          <w:color w:val="2D3748"/>
          <w:sz w:val="22"/>
          <w:szCs w:val="22"/>
        </w:rPr>
        <w:t xml:space="preserve">privacy-conscious power users</w:t>
      </w:r>
      <w:r>
        <w:rPr>
          <w:rFonts w:ascii="Arial" w:cs="Arial" w:eastAsia="Arial" w:hAnsi="Arial"/>
          <w:color w:val="2D3748"/>
          <w:sz w:val="22"/>
          <w:szCs w:val="22"/>
        </w:rPr>
        <w:t xml:space="preserve">: developers, high earners, and anyone who has chosen to exit the SaaS finance ecosystem following the demise of Mint and growing distrust of app-based data brokers.</w:t>
      </w:r>
    </w:p>
    <w:p>
      <w:pPr>
        <w:spacing w:after="140" w:before="0"/>
      </w:pPr>
      <w:r>
        <w:rPr>
          <w:rFonts w:ascii="Arial" w:cs="Arial" w:eastAsia="Arial" w:hAnsi="Arial"/>
          <w:color w:val="2D3748"/>
          <w:sz w:val="22"/>
          <w:szCs w:val="22"/>
        </w:rPr>
        <w:t xml:space="preserve">As of this writing, the application comprises </w:t>
      </w:r>
      <w:r>
        <w:rPr>
          <w:rFonts w:ascii="Arial" w:cs="Arial" w:eastAsia="Arial" w:hAnsi="Arial"/>
          <w:b/>
          <w:bCs/>
          <w:color w:val="2D3748"/>
          <w:sz w:val="22"/>
          <w:szCs w:val="22"/>
        </w:rPr>
        <w:t xml:space="preserve">22 source files (~7,300 lines of code)</w:t>
      </w:r>
      <w:r>
        <w:rPr>
          <w:rFonts w:ascii="Arial" w:cs="Arial" w:eastAsia="Arial" w:hAnsi="Arial"/>
          <w:color w:val="2D3748"/>
          <w:sz w:val="22"/>
          <w:szCs w:val="22"/>
        </w:rPr>
        <w:t xml:space="preserve">, covering ten major functional areas from transaction management to live investment pricing. The codebase is architecturally clean, React-idiomatic, and free of known security vulnerabilities in user-facing flows.</w:t>
      </w:r>
    </w:p>
    <w:p>
      <w:pPr>
        <w:spacing w:after="80" w:before="0"/>
      </w:pPr>
      <w:r>
        <w:rPr>
          <w:rFonts w:ascii="Arial" w:cs="Arial" w:eastAsia="Arial" w:hAnsi="Arial"/>
          <w:b/>
          <w:bCs/>
          <w:color w:val="2D3748"/>
          <w:sz w:val="22"/>
          <w:szCs w:val="22"/>
        </w:rPr>
        <w:t xml:space="preserve">Key conclusions from this analysis:</w:t>
      </w:r>
    </w:p>
    <w:p>
      <w:pPr>
        <w:pStyle w:val="ListParagraph"/>
        <w:numPr>
          <w:ilvl w:val="0"/>
          <w:numId w:val="2"/>
        </w:numPr>
        <w:spacing w:after="80" w:before="0"/>
      </w:pPr>
      <w:r>
        <w:rPr>
          <w:rFonts w:ascii="Arial" w:cs="Arial" w:eastAsia="Arial" w:hAnsi="Arial"/>
          <w:color w:val="2D3748"/>
          <w:sz w:val="22"/>
          <w:szCs w:val="22"/>
        </w:rPr>
        <w:t xml:space="preserve">The competitive moat is privacy + completeness: no current competitor offers local-first data, RSU/equity tracking, FIRE modeling, and a cashflow calendar in a single free product.</w:t>
      </w:r>
    </w:p>
    <w:p>
      <w:pPr>
        <w:pStyle w:val="ListParagraph"/>
        <w:numPr>
          <w:ilvl w:val="0"/>
          <w:numId w:val="2"/>
        </w:numPr>
        <w:spacing w:after="80" w:before="0"/>
      </w:pPr>
      <w:r>
        <w:rPr>
          <w:rFonts w:ascii="Arial" w:cs="Arial" w:eastAsia="Arial" w:hAnsi="Arial"/>
          <w:color w:val="2D3748"/>
          <w:sz w:val="22"/>
          <w:szCs w:val="22"/>
        </w:rPr>
        <w:t xml:space="preserve">The nearest competitor is Actual Budget (open source, local-first), but Pocket Watch already surpasses it in investment features and UX polish.</w:t>
      </w:r>
    </w:p>
    <w:p>
      <w:pPr>
        <w:pStyle w:val="ListParagraph"/>
        <w:numPr>
          <w:ilvl w:val="0"/>
          <w:numId w:val="2"/>
        </w:numPr>
        <w:spacing w:after="80" w:before="0"/>
      </w:pPr>
      <w:r>
        <w:rPr>
          <w:rFonts w:ascii="Arial" w:cs="Arial" w:eastAsia="Arial" w:hAnsi="Arial"/>
          <w:color w:val="2D3748"/>
          <w:sz w:val="22"/>
          <w:szCs w:val="22"/>
        </w:rPr>
        <w:t xml:space="preserve">The iOS/Android roadmap is the highest-leverage next move, but requires solving data sync without compromising the privacy promise.</w:t>
      </w:r>
    </w:p>
    <w:p>
      <w:pPr>
        <w:pStyle w:val="ListParagraph"/>
        <w:numPr>
          <w:ilvl w:val="0"/>
          <w:numId w:val="2"/>
        </w:numPr>
        <w:spacing w:after="80" w:before="0"/>
      </w:pPr>
      <w:r>
        <w:rPr>
          <w:rFonts w:ascii="Arial" w:cs="Arial" w:eastAsia="Arial" w:hAnsi="Arial"/>
          <w:color w:val="2D3748"/>
          <w:sz w:val="22"/>
          <w:szCs w:val="22"/>
        </w:rPr>
        <w:t xml:space="preserve">A one-time purchase model ($39–59 for desktop + mobile) is the recommended monetization path, aligning with user values and avoiding the subscription fatigue that is driving users away from YNAB and Copilot.</w:t>
      </w:r>
    </w:p>
    <w:p>
      <w:pPr>
        <w:pStyle w:val="ListParagraph"/>
        <w:numPr>
          <w:ilvl w:val="0"/>
          <w:numId w:val="2"/>
        </w:numPr>
        <w:spacing w:after="80" w:before="0"/>
      </w:pPr>
      <w:r>
        <w:rPr>
          <w:rFonts w:ascii="Arial" w:cs="Arial" w:eastAsia="Arial" w:hAnsi="Arial"/>
          <w:color w:val="2D3748"/>
          <w:sz w:val="22"/>
          <w:szCs w:val="22"/>
        </w:rPr>
        <w:t xml:space="preserve">Three code-level issues require attention before public launch: API key encryption, error boundaries, and the absence of a test suite.</w:t>
      </w:r>
    </w:p>
    <w:p>
      <w:r>
        <w:br w:type="page"/>
      </w:r>
    </w:p>
    <w:p>
      <w:pPr>
        <w:spacing w:after="240" w:before="0"/>
      </w:pPr>
      <w:r>
        <w:t xml:space="preserve"/>
      </w:r>
    </w:p>
    <w:p>
      <w:pPr>
        <w:pStyle w:val="Heading1"/>
        <w:spacing w:after="80" w:before="360"/>
      </w:pPr>
      <w:r>
        <w:rPr>
          <w:rFonts w:ascii="Arial" w:cs="Arial" w:eastAsia="Arial" w:hAnsi="Arial"/>
          <w:b/>
          <w:bCs/>
          <w:color w:val="1A6B55"/>
          <w:sz w:val="32"/>
          <w:szCs w:val="32"/>
        </w:rPr>
        <w:t xml:space="preserve">1. Project Analysis</w:t>
      </w:r>
    </w:p>
    <w:p>
      <w:pPr>
        <w:pBdr>
          <w:bottom w:val="single" w:color="1A6B55" w:sz="6" w:space="1"/>
        </w:pBdr>
        <w:spacing w:after="120" w:before="0"/>
      </w:pPr>
    </w:p>
    <w:p>
      <w:pPr>
        <w:pStyle w:val="Heading2"/>
        <w:spacing w:after="80" w:before="240"/>
      </w:pPr>
      <w:r>
        <w:rPr>
          <w:rFonts w:ascii="Arial" w:cs="Arial" w:eastAsia="Arial" w:hAnsi="Arial"/>
          <w:b/>
          <w:bCs/>
          <w:color w:val="2D3748"/>
          <w:sz w:val="26"/>
          <w:szCs w:val="2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16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Runtime</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Tauri 2.x  (Rust + WebView2 on Windows)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UI</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React 19 + Vite 7 + Chart.js 4</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Persistence</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Single JSON file, user-chosen path (Tauri FS plugin)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Config store</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Tauri Store plugin (config.json) — remembers data file path</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Market data</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Finnhub REST (stocks, API key required)  ·  CoinGecko public API (crypto)</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Exports</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CSV (native)  ·  XLSX via xlsx 0.18.5</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Updates</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Tauri Updater plugin (GitHub Releases via signed JSON manifest)</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Platform</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Windows (primary)  ·  macOS / Linux ready via Tauri (untested)</w:t>
            </w:r>
          </w:p>
        </w:tc>
      </w:tr>
    </w:tbl>
    <w:p>
      <w:pPr>
        <w:spacing w:after="200" w:before="0"/>
      </w:pPr>
      <w:r>
        <w:t xml:space="preserve"/>
      </w:r>
    </w:p>
    <w:p>
      <w:pPr>
        <w:pStyle w:val="Heading2"/>
        <w:spacing w:after="80" w:before="240"/>
      </w:pPr>
      <w:r>
        <w:rPr>
          <w:rFonts w:ascii="Arial" w:cs="Arial" w:eastAsia="Arial" w:hAnsi="Arial"/>
          <w:b/>
          <w:bCs/>
          <w:color w:val="2D3748"/>
          <w:sz w:val="26"/>
          <w:szCs w:val="26"/>
        </w:rPr>
        <w:t xml:space="preserve">1.2  Feature Inventory</w:t>
      </w:r>
    </w:p>
    <w:p>
      <w:pPr>
        <w:spacing w:after="120" w:before="0"/>
      </w:pPr>
      <w:r>
        <w:rPr>
          <w:rFonts w:ascii="Arial" w:cs="Arial" w:eastAsia="Arial" w:hAnsi="Arial"/>
          <w:color w:val="2D3748"/>
          <w:sz w:val="22"/>
          <w:szCs w:val="22"/>
        </w:rPr>
        <w:t xml:space="preserve">Pocket Watch currently ships ten fully-functional modules: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456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Capabilities</w:t>
            </w:r>
          </w:p>
        </w:tc>
        <w:tc>
          <w:tcPr>
            <w:tcW w:type="dxa" w:w="240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Dashboard</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Net worth, FIRE number, savings rate, spending insights, YoY delta cards, budget alert roll-up</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Production-ready</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Transactions</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Full CRUD, 50/page pagination, debounced search, 7 filters, tax-deductible tags, XLSX + CSV export, bulk delete, inline cell edit, split transactions, running balance, undo/redo</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Production-ready</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Accounts</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8 account types, reconciliation, statement CSV import (YNAB/Mint/Chase/BoA presets), balance adjustments, holdings ledger</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Production-ready</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Budgets</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Monthly budgets, rollover, templates, auto-apply, 3-month rolling trend, smart suggestions, over-budget alerts</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Production-ready</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Goals</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Savings goals, linked accounts, deposit tracking, progress visualization</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Production-ready</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Recurring</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Weekly / bi-weekly / monthly / quarterly / yearly rules, auto-generation, subscription detection, monthly cost roll-up</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Production-ready</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Investments</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RSU/options grant tracking, vesting schedules, live stock/crypto prices, portfolio doughnut chart, vest recording, live P&amp;L</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Production-ready</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Cashflow Calendar</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Daily spend heatmap, recurring overlays on future dates, 90-day running balance projection chart + table</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Production-ready</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Reports</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Spending trends, YoY comparison, net worth trajectory, spending forecast, tax year summary (by category, deductible flag)</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Production-ready</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Settings</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API keys, transaction archive, historical net worth CSV import, custom categories, data health panel, backup/restore, auto-updater</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Production-ready</w:t>
            </w:r>
          </w:p>
        </w:tc>
      </w:tr>
    </w:tbl>
    <w:p>
      <w:pPr>
        <w:spacing w:after="200" w:before="0"/>
      </w:pPr>
      <w:r>
        <w:t xml:space="preserve"/>
      </w:r>
    </w:p>
    <w:p>
      <w:pPr>
        <w:pStyle w:val="Heading2"/>
        <w:spacing w:after="80" w:before="240"/>
      </w:pPr>
      <w:r>
        <w:rPr>
          <w:rFonts w:ascii="Arial" w:cs="Arial" w:eastAsia="Arial" w:hAnsi="Arial"/>
          <w:b/>
          <w:bCs/>
          <w:color w:val="2D3748"/>
          <w:sz w:val="26"/>
          <w:szCs w:val="26"/>
        </w:rPr>
        <w:t xml:space="preserve">1.3  Architectural Strengths</w:t>
      </w:r>
    </w:p>
    <w:p>
      <w:pPr>
        <w:pStyle w:val="ListParagraph"/>
        <w:numPr>
          <w:ilvl w:val="0"/>
          <w:numId w:val="2"/>
        </w:numPr>
        <w:spacing w:after="80" w:before="0"/>
      </w:pPr>
      <w:r>
        <w:rPr>
          <w:rFonts w:ascii="Arial" w:cs="Arial" w:eastAsia="Arial" w:hAnsi="Arial"/>
          <w:color w:val="2D3748"/>
          <w:sz w:val="22"/>
          <w:szCs w:val="22"/>
        </w:rPr>
        <w:t xml:space="preserve">Local-first data model: one JSON file the user controls. Zero cloud dependencies, zero telemetry surface area.</w:t>
      </w:r>
    </w:p>
    <w:p>
      <w:pPr>
        <w:pStyle w:val="ListParagraph"/>
        <w:numPr>
          <w:ilvl w:val="0"/>
          <w:numId w:val="2"/>
        </w:numPr>
        <w:spacing w:after="80" w:before="0"/>
      </w:pPr>
      <w:r>
        <w:rPr>
          <w:rFonts w:ascii="Arial" w:cs="Arial" w:eastAsia="Arial" w:hAnsi="Arial"/>
          <w:color w:val="2D3748"/>
          <w:sz w:val="22"/>
          <w:szCs w:val="22"/>
        </w:rPr>
        <w:t xml:space="preserve">Auto-save with 600ms debounce and pre-load backup. Data is never at risk from a crash.</w:t>
      </w:r>
    </w:p>
    <w:p>
      <w:pPr>
        <w:pStyle w:val="ListParagraph"/>
        <w:numPr>
          <w:ilvl w:val="0"/>
          <w:numId w:val="2"/>
        </w:numPr>
        <w:spacing w:after="80" w:before="0"/>
      </w:pPr>
      <w:r>
        <w:rPr>
          <w:rFonts w:ascii="Arial" w:cs="Arial" w:eastAsia="Arial" w:hAnsi="Arial"/>
          <w:color w:val="2D3748"/>
          <w:sz w:val="22"/>
          <w:szCs w:val="22"/>
        </w:rPr>
        <w:t xml:space="preserve">React 19 functional components with useMemo / useCallback throughout — no unnecessary re-renders.</w:t>
      </w:r>
    </w:p>
    <w:p>
      <w:pPr>
        <w:pStyle w:val="ListParagraph"/>
        <w:numPr>
          <w:ilvl w:val="0"/>
          <w:numId w:val="2"/>
        </w:numPr>
        <w:spacing w:after="80" w:before="0"/>
      </w:pPr>
      <w:r>
        <w:rPr>
          <w:rFonts w:ascii="Arial" w:cs="Arial" w:eastAsia="Arial" w:hAnsi="Arial"/>
          <w:color w:val="2D3748"/>
          <w:sz w:val="22"/>
          <w:szCs w:val="22"/>
        </w:rPr>
        <w:t xml:space="preserve">Data migration versioning (migrateData()) handles schema evolution cleanly.</w:t>
      </w:r>
    </w:p>
    <w:p>
      <w:pPr>
        <w:pStyle w:val="ListParagraph"/>
        <w:numPr>
          <w:ilvl w:val="0"/>
          <w:numId w:val="2"/>
        </w:numPr>
        <w:spacing w:after="80" w:before="0"/>
      </w:pPr>
      <w:r>
        <w:rPr>
          <w:rFonts w:ascii="Arial" w:cs="Arial" w:eastAsia="Arial" w:hAnsi="Arial"/>
          <w:color w:val="2D3748"/>
          <w:sz w:val="22"/>
          <w:szCs w:val="22"/>
        </w:rPr>
        <w:t xml:space="preserve">AbortController on all async market data fetches prevents memory leaks on component unmount.</w:t>
      </w:r>
    </w:p>
    <w:p>
      <w:pPr>
        <w:pStyle w:val="ListParagraph"/>
        <w:numPr>
          <w:ilvl w:val="0"/>
          <w:numId w:val="2"/>
        </w:numPr>
        <w:spacing w:after="80" w:before="0"/>
      </w:pPr>
      <w:r>
        <w:rPr>
          <w:rFonts w:ascii="Arial" w:cs="Arial" w:eastAsia="Arial" w:hAnsi="Arial"/>
          <w:color w:val="2D3748"/>
          <w:sz w:val="22"/>
          <w:szCs w:val="22"/>
        </w:rPr>
        <w:t xml:space="preserve">Functional state updaters (setState(prev =&gt; ...)) eliminate stale closure bugs across all handlers.</w:t>
      </w:r>
    </w:p>
    <w:p>
      <w:pPr>
        <w:pStyle w:val="ListParagraph"/>
        <w:numPr>
          <w:ilvl w:val="0"/>
          <w:numId w:val="2"/>
        </w:numPr>
        <w:spacing w:after="80" w:before="0"/>
      </w:pPr>
      <w:r>
        <w:rPr>
          <w:rFonts w:ascii="Arial" w:cs="Arial" w:eastAsia="Arial" w:hAnsi="Arial"/>
          <w:color w:val="2D3748"/>
          <w:sz w:val="22"/>
          <w:szCs w:val="22"/>
        </w:rPr>
        <w:t xml:space="preserve">sanitizeText(), safeNum(), and safeDate() security helpers used consistently on input paths.</w:t>
      </w:r>
    </w:p>
    <w:p>
      <w:pPr>
        <w:spacing w:after="200" w:before="0"/>
      </w:pPr>
      <w:r>
        <w:t xml:space="preserve"/>
      </w:r>
    </w:p>
    <w:p>
      <w:pPr>
        <w:pStyle w:val="Heading2"/>
        <w:spacing w:after="80" w:before="240"/>
      </w:pPr>
      <w:r>
        <w:rPr>
          <w:rFonts w:ascii="Arial" w:cs="Arial" w:eastAsia="Arial" w:hAnsi="Arial"/>
          <w:b/>
          <w:bCs/>
          <w:color w:val="2D3748"/>
          <w:sz w:val="26"/>
          <w:szCs w:val="26"/>
        </w:rPr>
        <w:t xml:space="preserve">1.4  Current Limitations</w:t>
      </w:r>
    </w:p>
    <w:p>
      <w:pPr>
        <w:pStyle w:val="ListParagraph"/>
        <w:numPr>
          <w:ilvl w:val="0"/>
          <w:numId w:val="2"/>
        </w:numPr>
        <w:spacing w:after="80" w:before="0"/>
      </w:pPr>
      <w:r>
        <w:rPr>
          <w:rFonts w:ascii="Arial" w:cs="Arial" w:eastAsia="Arial" w:hAnsi="Arial"/>
          <w:color w:val="2D3748"/>
          <w:sz w:val="22"/>
          <w:szCs w:val="22"/>
        </w:rPr>
        <w:t xml:space="preserve">No automated test suite (unit or integration). Bugs must be caught manually or in production.</w:t>
      </w:r>
    </w:p>
    <w:p>
      <w:pPr>
        <w:pStyle w:val="ListParagraph"/>
        <w:numPr>
          <w:ilvl w:val="0"/>
          <w:numId w:val="2"/>
        </w:numPr>
        <w:spacing w:after="80" w:before="0"/>
      </w:pPr>
      <w:r>
        <w:rPr>
          <w:rFonts w:ascii="Arial" w:cs="Arial" w:eastAsia="Arial" w:hAnsi="Arial"/>
          <w:color w:val="2D3748"/>
          <w:sz w:val="22"/>
          <w:szCs w:val="22"/>
        </w:rPr>
        <w:t xml:space="preserve">No TypeScript. Runtime type errors are possible, especially on malformed CSV import or JSON restore.</w:t>
      </w:r>
    </w:p>
    <w:p>
      <w:pPr>
        <w:pStyle w:val="ListParagraph"/>
        <w:numPr>
          <w:ilvl w:val="0"/>
          <w:numId w:val="2"/>
        </w:numPr>
        <w:spacing w:after="80" w:before="0"/>
      </w:pPr>
      <w:r>
        <w:rPr>
          <w:rFonts w:ascii="Arial" w:cs="Arial" w:eastAsia="Arial" w:hAnsi="Arial"/>
          <w:color w:val="2D3748"/>
          <w:sz w:val="22"/>
          <w:szCs w:val="22"/>
        </w:rPr>
        <w:t xml:space="preserve">Large component files (App.jsx at 750 lines, Equity.jsx at 855 lines). As features compound, maintenance overhead will grow.</w:t>
      </w:r>
    </w:p>
    <w:p>
      <w:pPr>
        <w:pStyle w:val="ListParagraph"/>
        <w:numPr>
          <w:ilvl w:val="0"/>
          <w:numId w:val="2"/>
        </w:numPr>
        <w:spacing w:after="80" w:before="0"/>
      </w:pPr>
      <w:r>
        <w:rPr>
          <w:rFonts w:ascii="Arial" w:cs="Arial" w:eastAsia="Arial" w:hAnsi="Arial"/>
          <w:color w:val="2D3748"/>
          <w:sz w:val="22"/>
          <w:szCs w:val="22"/>
        </w:rPr>
        <w:t xml:space="preserve">API keys stored in plaintext JSON alongside financial data. No OS keychain integration.</w:t>
      </w:r>
    </w:p>
    <w:p>
      <w:pPr>
        <w:pStyle w:val="ListParagraph"/>
        <w:numPr>
          <w:ilvl w:val="0"/>
          <w:numId w:val="2"/>
        </w:numPr>
        <w:spacing w:after="80" w:before="0"/>
      </w:pPr>
      <w:r>
        <w:rPr>
          <w:rFonts w:ascii="Arial" w:cs="Arial" w:eastAsia="Arial" w:hAnsi="Arial"/>
          <w:color w:val="2D3748"/>
          <w:sz w:val="22"/>
          <w:szCs w:val="22"/>
        </w:rPr>
        <w:t xml:space="preserve">No error boundaries — a single component exception crashes the full app with a white screen.</w:t>
      </w:r>
    </w:p>
    <w:p>
      <w:pPr>
        <w:pStyle w:val="ListParagraph"/>
        <w:numPr>
          <w:ilvl w:val="0"/>
          <w:numId w:val="2"/>
        </w:numPr>
        <w:spacing w:after="80" w:before="0"/>
      </w:pPr>
      <w:r>
        <w:rPr>
          <w:rFonts w:ascii="Arial" w:cs="Arial" w:eastAsia="Arial" w:hAnsi="Arial"/>
          <w:color w:val="2D3748"/>
          <w:sz w:val="22"/>
          <w:szCs w:val="22"/>
        </w:rPr>
        <w:t xml:space="preserve">uid() uses Math.random() rather than crypto.randomUUID(). Collision risk at very high transaction volumes.</w:t>
      </w:r>
    </w:p>
    <w:p>
      <w:pPr>
        <w:pStyle w:val="ListParagraph"/>
        <w:numPr>
          <w:ilvl w:val="0"/>
          <w:numId w:val="2"/>
        </w:numPr>
        <w:spacing w:after="80" w:before="0"/>
      </w:pPr>
      <w:r>
        <w:rPr>
          <w:rFonts w:ascii="Arial" w:cs="Arial" w:eastAsia="Arial" w:hAnsi="Arial"/>
          <w:color w:val="2D3748"/>
          <w:sz w:val="22"/>
          <w:szCs w:val="22"/>
        </w:rPr>
        <w:t xml:space="preserve">No offline-first sync story — data sync for the planned iOS/Android apps is an open architectural question.</w:t>
      </w:r>
    </w:p>
    <w:p>
      <w:pPr>
        <w:pStyle w:val="ListParagraph"/>
        <w:numPr>
          <w:ilvl w:val="0"/>
          <w:numId w:val="2"/>
        </w:numPr>
        <w:spacing w:after="80" w:before="0"/>
      </w:pPr>
      <w:r>
        <w:rPr>
          <w:rFonts w:ascii="Arial" w:cs="Arial" w:eastAsia="Arial" w:hAnsi="Arial"/>
          <w:color w:val="2D3748"/>
          <w:sz w:val="22"/>
          <w:szCs w:val="22"/>
        </w:rPr>
        <w:t xml:space="preserve">Currency is USD-only. No multi-currency support for international users.</w:t>
      </w:r>
    </w:p>
    <w:p>
      <w:r>
        <w:br w:type="page"/>
      </w:r>
    </w:p>
    <w:p>
      <w:pPr>
        <w:spacing w:after="240" w:before="0"/>
      </w:pPr>
      <w:r>
        <w:t xml:space="preserve"/>
      </w:r>
    </w:p>
    <w:p>
      <w:pPr>
        <w:pStyle w:val="Heading1"/>
        <w:spacing w:after="80" w:before="360"/>
      </w:pPr>
      <w:r>
        <w:rPr>
          <w:rFonts w:ascii="Arial" w:cs="Arial" w:eastAsia="Arial" w:hAnsi="Arial"/>
          <w:b/>
          <w:bCs/>
          <w:color w:val="1A6B55"/>
          <w:sz w:val="32"/>
          <w:szCs w:val="32"/>
        </w:rPr>
        <w:t xml:space="preserve">2. Competitive Landscape</w:t>
      </w:r>
    </w:p>
    <w:p>
      <w:pPr>
        <w:pBdr>
          <w:bottom w:val="single" w:color="1A6B55" w:sz="6" w:space="1"/>
        </w:pBdr>
        <w:spacing w:after="120" w:before="0"/>
      </w:pPr>
    </w:p>
    <w:p>
      <w:pPr>
        <w:pStyle w:val="Heading2"/>
        <w:spacing w:after="80" w:before="240"/>
      </w:pPr>
      <w:r>
        <w:rPr>
          <w:rFonts w:ascii="Arial" w:cs="Arial" w:eastAsia="Arial" w:hAnsi="Arial"/>
          <w:b/>
          <w:bCs/>
          <w:color w:val="2D3748"/>
          <w:sz w:val="26"/>
          <w:szCs w:val="26"/>
        </w:rPr>
        <w:t xml:space="preserve">2.1  Market Context</w:t>
      </w:r>
    </w:p>
    <w:p>
      <w:pPr>
        <w:spacing w:after="120" w:before="0"/>
      </w:pPr>
      <w:r>
        <w:rPr>
          <w:rFonts w:ascii="Arial" w:cs="Arial" w:eastAsia="Arial" w:hAnsi="Arial"/>
          <w:color w:val="2D3748"/>
          <w:sz w:val="22"/>
          <w:szCs w:val="22"/>
        </w:rPr>
        <w:t xml:space="preserve">The personal finance app market is at an inflection point. Mint — the largest free US finance app with 3.6 million active users — was shut down by Intuit on March 23, 2024. That single event displaced millions of users who are actively searching for a replacement and have heightened sensitivity to platform risk (i.e., "what happens if this app disappears too"). This is the most favorable market entry window in a decade for any privacy-first personal finance product.</w:t>
      </w:r>
    </w:p>
    <w:p>
      <w:pPr>
        <w:spacing w:after="160" w:before="0"/>
      </w:pPr>
      <w:r>
        <w:t xml:space="preserve"/>
      </w:r>
    </w:p>
    <w:p>
      <w:pPr>
        <w:pStyle w:val="Heading2"/>
        <w:spacing w:after="80" w:before="240"/>
      </w:pPr>
      <w:r>
        <w:rPr>
          <w:rFonts w:ascii="Arial" w:cs="Arial" w:eastAsia="Arial" w:hAnsi="Arial"/>
          <w:b/>
          <w:bCs/>
          <w:color w:val="2D3748"/>
          <w:sz w:val="26"/>
          <w:szCs w:val="26"/>
        </w:rPr>
        <w:t xml:space="preserve">2.2  Competitor Matrix</w:t>
      </w:r>
    </w:p>
    <w:p>
      <w:pPr>
        <w:spacing w:after="120" w:before="0"/>
      </w:pPr>
      <w:r>
        <w:rPr>
          <w:rFonts w:ascii="Arial" w:cs="Arial" w:eastAsia="Arial" w:hAnsi="Arial"/>
          <w:color w:val="2D3748"/>
          <w:sz w:val="22"/>
          <w:szCs w:val="22"/>
        </w:rPr>
        <w:t xml:space="preserve">The table below evaluates the primary competitors across dimensions most relevant to the privacy-first power user segment.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980"/>
        <w:gridCol w:w="980"/>
        <w:gridCol w:w="980"/>
        <w:gridCol w:w="1020"/>
        <w:gridCol w:w="980"/>
        <w:gridCol w:w="980"/>
        <w:gridCol w:w="1000"/>
      </w:tblGrid>
      <w:tr>
        <w:tc>
          <w:tcPr>
            <w:tcW w:type="dxa" w:w="144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App</w:t>
            </w:r>
          </w:p>
        </w:tc>
        <w:tc>
          <w:tcPr>
            <w:tcW w:type="dxa" w:w="98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98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Local Data</w:t>
            </w:r>
          </w:p>
        </w:tc>
        <w:tc>
          <w:tcPr>
            <w:tcW w:type="dxa" w:w="98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Privacy</w:t>
            </w:r>
          </w:p>
        </w:tc>
        <w:tc>
          <w:tcPr>
            <w:tcW w:type="dxa" w:w="102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Investments</w:t>
            </w:r>
          </w:p>
        </w:tc>
        <w:tc>
          <w:tcPr>
            <w:tcW w:type="dxa" w:w="98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FIRE / Net Worth</w:t>
            </w:r>
          </w:p>
        </w:tc>
        <w:tc>
          <w:tcPr>
            <w:tcW w:type="dxa" w:w="98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Open Source</w:t>
            </w:r>
          </w:p>
        </w:tc>
        <w:tc>
          <w:tcPr>
            <w:tcW w:type="dxa" w:w="100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Mobile</w:t>
            </w:r>
          </w:p>
        </w:tc>
      </w:tr>
      <w:tr>
        <w:tc>
          <w:tcPr>
            <w:tcW w:type="dxa" w:w="1440"/>
            <w:tcBorders>
              <w:top w:val="single" w:color="CBD5E0" w:sz="1"/>
              <w:left w:val="single" w:color="CBD5E0" w:sz="1"/>
              <w:bottom w:val="single" w:color="CBD5E0" w:sz="1"/>
              <w:right w:val="single" w:color="CBD5E0" w:sz="1"/>
            </w:tcBorders>
            <w:shd w:fill="D6EDE7" w:val="clear"/>
            <w:tcMar>
              <w:top w:type="dxa" w:w="80"/>
              <w:left w:type="dxa" w:w="120"/>
              <w:bottom w:type="dxa" w:w="80"/>
              <w:right w:type="dxa" w:w="120"/>
            </w:tcMar>
            <w:vAlign w:val="center"/>
          </w:tcPr>
          <w:p>
            <w:r>
              <w:rPr>
                <w:rFonts w:ascii="Arial" w:cs="Arial" w:eastAsia="Arial" w:hAnsi="Arial"/>
                <w:b/>
                <w:bCs/>
                <w:color w:val="2D3748"/>
                <w:sz w:val="20"/>
                <w:szCs w:val="20"/>
              </w:rPr>
              <w:t xml:space="preserve">Pocket Watch</w:t>
            </w:r>
          </w:p>
        </w:tc>
        <w:tc>
          <w:tcPr>
            <w:tcW w:type="dxa" w:w="980"/>
            <w:tcBorders>
              <w:top w:val="single" w:color="CBD5E0" w:sz="1"/>
              <w:left w:val="single" w:color="CBD5E0" w:sz="1"/>
              <w:bottom w:val="single" w:color="CBD5E0" w:sz="1"/>
              <w:right w:val="single" w:color="CBD5E0" w:sz="1"/>
            </w:tcBorders>
            <w:shd w:fill="D6EDE7"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Free / TBD</w:t>
            </w:r>
          </w:p>
        </w:tc>
        <w:tc>
          <w:tcPr>
            <w:tcW w:type="dxa" w:w="980"/>
            <w:tcBorders>
              <w:top w:val="single" w:color="CBD5E0" w:sz="1"/>
              <w:left w:val="single" w:color="CBD5E0" w:sz="1"/>
              <w:bottom w:val="single" w:color="CBD5E0" w:sz="1"/>
              <w:right w:val="single" w:color="CBD5E0" w:sz="1"/>
            </w:tcBorders>
            <w:shd w:fill="D6EDE7"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Full</w:t>
            </w:r>
          </w:p>
        </w:tc>
        <w:tc>
          <w:tcPr>
            <w:tcW w:type="dxa" w:w="980"/>
            <w:tcBorders>
              <w:top w:val="single" w:color="CBD5E0" w:sz="1"/>
              <w:left w:val="single" w:color="CBD5E0" w:sz="1"/>
              <w:bottom w:val="single" w:color="CBD5E0" w:sz="1"/>
              <w:right w:val="single" w:color="CBD5E0" w:sz="1"/>
            </w:tcBorders>
            <w:shd w:fill="D6EDE7"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Excellent</w:t>
            </w:r>
          </w:p>
        </w:tc>
        <w:tc>
          <w:tcPr>
            <w:tcW w:type="dxa" w:w="1020"/>
            <w:tcBorders>
              <w:top w:val="single" w:color="CBD5E0" w:sz="1"/>
              <w:left w:val="single" w:color="CBD5E0" w:sz="1"/>
              <w:bottom w:val="single" w:color="CBD5E0" w:sz="1"/>
              <w:right w:val="single" w:color="CBD5E0" w:sz="1"/>
            </w:tcBorders>
            <w:shd w:fill="D6EDE7"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RSU + live</w:t>
            </w:r>
          </w:p>
        </w:tc>
        <w:tc>
          <w:tcPr>
            <w:tcW w:type="dxa" w:w="980"/>
            <w:tcBorders>
              <w:top w:val="single" w:color="CBD5E0" w:sz="1"/>
              <w:left w:val="single" w:color="CBD5E0" w:sz="1"/>
              <w:bottom w:val="single" w:color="CBD5E0" w:sz="1"/>
              <w:right w:val="single" w:color="CBD5E0" w:sz="1"/>
            </w:tcBorders>
            <w:shd w:fill="D6EDE7"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Full FIRE</w:t>
            </w:r>
          </w:p>
        </w:tc>
        <w:tc>
          <w:tcPr>
            <w:tcW w:type="dxa" w:w="980"/>
            <w:tcBorders>
              <w:top w:val="single" w:color="CBD5E0" w:sz="1"/>
              <w:left w:val="single" w:color="CBD5E0" w:sz="1"/>
              <w:bottom w:val="single" w:color="CBD5E0" w:sz="1"/>
              <w:right w:val="single" w:color="CBD5E0" w:sz="1"/>
            </w:tcBorders>
            <w:shd w:fill="D6EDE7"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Planned</w:t>
            </w:r>
          </w:p>
        </w:tc>
        <w:tc>
          <w:tcPr>
            <w:tcW w:type="dxa" w:w="1000"/>
            <w:tcBorders>
              <w:top w:val="single" w:color="CBD5E0" w:sz="1"/>
              <w:left w:val="single" w:color="CBD5E0" w:sz="1"/>
              <w:bottom w:val="single" w:color="CBD5E0" w:sz="1"/>
              <w:right w:val="single" w:color="CBD5E0" w:sz="1"/>
            </w:tcBorders>
            <w:shd w:fill="D6EDE7"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Planned (iOS)</w:t>
            </w:r>
          </w:p>
        </w:tc>
      </w:tr>
      <w:tr>
        <w:tc>
          <w:tcPr>
            <w:tcW w:type="dxa" w:w="14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Actual Budget</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Free / $15/yr sync</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Full</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Good</w:t>
            </w:r>
          </w:p>
        </w:tc>
        <w:tc>
          <w:tcPr>
            <w:tcW w:type="dxa" w:w="10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None</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Basic</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Yes</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iOS + Android</w:t>
            </w:r>
          </w:p>
        </w:tc>
      </w:tr>
      <w:tr>
        <w:tc>
          <w:tcPr>
            <w:tcW w:type="dxa" w:w="14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YNAB</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$14.99/mo</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Cloud only</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Limited</w:t>
            </w:r>
          </w:p>
        </w:tc>
        <w:tc>
          <w:tcPr>
            <w:tcW w:type="dxa" w:w="10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None</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Basic</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No</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iOS + Android</w:t>
            </w:r>
          </w:p>
        </w:tc>
      </w:tr>
      <w:tr>
        <w:tc>
          <w:tcPr>
            <w:tcW w:type="dxa" w:w="14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Copilot</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$13.99/mo</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Cloud only</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Plaid access</w:t>
            </w:r>
          </w:p>
        </w:tc>
        <w:tc>
          <w:tcPr>
            <w:tcW w:type="dxa" w:w="10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Basic</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Basic</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No</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iOS/macOS only</w:t>
            </w:r>
          </w:p>
        </w:tc>
      </w:tr>
      <w:tr>
        <w:tc>
          <w:tcPr>
            <w:tcW w:type="dxa" w:w="14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Monarch Money</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$14.99/mo</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Cloud only</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Plaid access</w:t>
            </w:r>
          </w:p>
        </w:tc>
        <w:tc>
          <w:tcPr>
            <w:tcW w:type="dxa" w:w="10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Basic</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Basic</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No</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iOS + Android</w:t>
            </w:r>
          </w:p>
        </w:tc>
      </w:tr>
      <w:tr>
        <w:tc>
          <w:tcPr>
            <w:tcW w:type="dxa" w:w="14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Empower / Personal Capital</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Free (upsell)</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Cloud only</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Ad / upsell model</w:t>
            </w:r>
          </w:p>
        </w:tc>
        <w:tc>
          <w:tcPr>
            <w:tcW w:type="dxa" w:w="10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Strong</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Strong</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No</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iOS + Android</w:t>
            </w:r>
          </w:p>
        </w:tc>
      </w:tr>
      <w:tr>
        <w:tc>
          <w:tcPr>
            <w:tcW w:type="dxa" w:w="14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Quicken</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$47–99/yr</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Desktop file</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Telemetry</w:t>
            </w:r>
          </w:p>
        </w:tc>
        <w:tc>
          <w:tcPr>
            <w:tcW w:type="dxa" w:w="10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Good</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Basic</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No</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Basic</w:t>
            </w:r>
          </w:p>
        </w:tc>
      </w:tr>
      <w:tr>
        <w:tc>
          <w:tcPr>
            <w:tcW w:type="dxa" w:w="14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Firefly III</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Free (self-host)</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Self-hosted</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Full control</w:t>
            </w:r>
          </w:p>
        </w:tc>
        <w:tc>
          <w:tcPr>
            <w:tcW w:type="dxa" w:w="10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Basic</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Basic</w:t>
            </w:r>
          </w:p>
        </w:tc>
        <w:tc>
          <w:tcPr>
            <w:tcW w:type="dxa" w:w="9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Yes</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Via API</w:t>
            </w:r>
          </w:p>
        </w:tc>
      </w:tr>
    </w:tbl>
    <w:p>
      <w:pPr>
        <w:spacing w:after="200" w:before="0"/>
      </w:pPr>
      <w:r>
        <w:t xml:space="preserve"/>
      </w:r>
    </w:p>
    <w:p>
      <w:pPr>
        <w:pStyle w:val="Heading2"/>
        <w:spacing w:after="80" w:before="240"/>
      </w:pPr>
      <w:r>
        <w:rPr>
          <w:rFonts w:ascii="Arial" w:cs="Arial" w:eastAsia="Arial" w:hAnsi="Arial"/>
          <w:b/>
          <w:bCs/>
          <w:color w:val="2D3748"/>
          <w:sz w:val="26"/>
          <w:szCs w:val="26"/>
        </w:rPr>
        <w:t xml:space="preserve">2.3  Differentiation Analysis</w:t>
      </w:r>
    </w:p>
    <w:p>
      <w:pPr>
        <w:pStyle w:val="Heading3"/>
        <w:spacing w:after="60" w:before="200"/>
      </w:pPr>
      <w:r>
        <w:rPr>
          <w:rFonts w:ascii="Arial" w:cs="Arial" w:eastAsia="Arial" w:hAnsi="Arial"/>
          <w:b/>
          <w:bCs/>
          <w:color w:val="1A6B55"/>
          <w:sz w:val="23"/>
          <w:szCs w:val="23"/>
        </w:rPr>
        <w:t xml:space="preserve">Pocket Watch's Unique Position</w:t>
      </w:r>
    </w:p>
    <w:p>
      <w:pPr>
        <w:spacing w:after="120" w:before="0"/>
      </w:pPr>
      <w:r>
        <w:rPr>
          <w:rFonts w:ascii="Arial" w:cs="Arial" w:eastAsia="Arial" w:hAnsi="Arial"/>
          <w:color w:val="2D3748"/>
          <w:sz w:val="22"/>
          <w:szCs w:val="22"/>
        </w:rPr>
        <w:t xml:space="preserve">No other product in the competitive set offers ALL of the following simultaneously:</w:t>
      </w:r>
    </w:p>
    <w:p>
      <w:pPr>
        <w:pStyle w:val="ListParagraph"/>
        <w:numPr>
          <w:ilvl w:val="0"/>
          <w:numId w:val="2"/>
        </w:numPr>
        <w:spacing w:after="80" w:before="0"/>
      </w:pPr>
      <w:r>
        <w:rPr>
          <w:rFonts w:ascii="Arial" w:cs="Arial" w:eastAsia="Arial" w:hAnsi="Arial"/>
          <w:color w:val="2D3748"/>
          <w:sz w:val="22"/>
          <w:szCs w:val="22"/>
        </w:rPr>
        <w:t xml:space="preserve">Complete local-first storage — no account required, no network calls for core features</w:t>
      </w:r>
    </w:p>
    <w:p>
      <w:pPr>
        <w:pStyle w:val="ListParagraph"/>
        <w:numPr>
          <w:ilvl w:val="0"/>
          <w:numId w:val="2"/>
        </w:numPr>
        <w:spacing w:after="80" w:before="0"/>
      </w:pPr>
      <w:r>
        <w:rPr>
          <w:rFonts w:ascii="Arial" w:cs="Arial" w:eastAsia="Arial" w:hAnsi="Arial"/>
          <w:color w:val="2D3748"/>
          <w:sz w:val="22"/>
          <w:szCs w:val="22"/>
        </w:rPr>
        <w:t xml:space="preserve">RSU / stock option grant tracking with vesting schedules and live market prices</w:t>
      </w:r>
    </w:p>
    <w:p>
      <w:pPr>
        <w:pStyle w:val="ListParagraph"/>
        <w:numPr>
          <w:ilvl w:val="0"/>
          <w:numId w:val="2"/>
        </w:numPr>
        <w:spacing w:after="80" w:before="0"/>
      </w:pPr>
      <w:r>
        <w:rPr>
          <w:rFonts w:ascii="Arial" w:cs="Arial" w:eastAsia="Arial" w:hAnsi="Arial"/>
          <w:color w:val="2D3748"/>
          <w:sz w:val="22"/>
          <w:szCs w:val="22"/>
        </w:rPr>
        <w:t xml:space="preserve">Built-in FIRE calculator (25x rule, savings rate, years-to-FIRE projection)</w:t>
      </w:r>
    </w:p>
    <w:p>
      <w:pPr>
        <w:pStyle w:val="ListParagraph"/>
        <w:numPr>
          <w:ilvl w:val="0"/>
          <w:numId w:val="2"/>
        </w:numPr>
        <w:spacing w:after="80" w:before="0"/>
      </w:pPr>
      <w:r>
        <w:rPr>
          <w:rFonts w:ascii="Arial" w:cs="Arial" w:eastAsia="Arial" w:hAnsi="Arial"/>
          <w:color w:val="2D3748"/>
          <w:sz w:val="22"/>
          <w:szCs w:val="22"/>
        </w:rPr>
        <w:t xml:space="preserve">90-day cashflow projection from recurring transactions</w:t>
      </w:r>
    </w:p>
    <w:p>
      <w:pPr>
        <w:pStyle w:val="ListParagraph"/>
        <w:numPr>
          <w:ilvl w:val="0"/>
          <w:numId w:val="2"/>
        </w:numPr>
        <w:spacing w:after="80" w:before="0"/>
      </w:pPr>
      <w:r>
        <w:rPr>
          <w:rFonts w:ascii="Arial" w:cs="Arial" w:eastAsia="Arial" w:hAnsi="Arial"/>
          <w:color w:val="2D3748"/>
          <w:sz w:val="22"/>
          <w:szCs w:val="22"/>
        </w:rPr>
        <w:t xml:space="preserve">Tax-deductible transaction tagging with a year-end summary report</w:t>
      </w:r>
    </w:p>
    <w:p>
      <w:pPr>
        <w:pStyle w:val="ListParagraph"/>
        <w:numPr>
          <w:ilvl w:val="0"/>
          <w:numId w:val="2"/>
        </w:numPr>
        <w:spacing w:after="80" w:before="0"/>
      </w:pPr>
      <w:r>
        <w:rPr>
          <w:rFonts w:ascii="Arial" w:cs="Arial" w:eastAsia="Arial" w:hAnsi="Arial"/>
          <w:color w:val="2D3748"/>
          <w:sz w:val="22"/>
          <w:szCs w:val="22"/>
        </w:rPr>
        <w:t xml:space="preserve">Transaction archiving for multi-year dataset management</w:t>
      </w:r>
    </w:p>
    <w:p>
      <w:pPr>
        <w:pStyle w:val="ListParagraph"/>
        <w:numPr>
          <w:ilvl w:val="0"/>
          <w:numId w:val="2"/>
        </w:numPr>
        <w:spacing w:after="80" w:before="0"/>
      </w:pPr>
      <w:r>
        <w:rPr>
          <w:rFonts w:ascii="Arial" w:cs="Arial" w:eastAsia="Arial" w:hAnsi="Arial"/>
          <w:color w:val="2D3748"/>
          <w:sz w:val="22"/>
          <w:szCs w:val="22"/>
        </w:rPr>
        <w:t xml:space="preserve">Historical net worth import from CSV for building rich historical charts</w:t>
      </w:r>
    </w:p>
    <w:p>
      <w:pPr>
        <w:spacing w:after="120" w:before="0"/>
      </w:pPr>
      <w:r>
        <w:t xml:space="preserve"/>
      </w:r>
    </w:p>
    <w:p>
      <w:pPr>
        <w:pStyle w:val="Heading3"/>
        <w:spacing w:after="60" w:before="200"/>
      </w:pPr>
      <w:r>
        <w:rPr>
          <w:rFonts w:ascii="Arial" w:cs="Arial" w:eastAsia="Arial" w:hAnsi="Arial"/>
          <w:b/>
          <w:bCs/>
          <w:color w:val="1A6B55"/>
          <w:sz w:val="23"/>
          <w:szCs w:val="23"/>
        </w:rPr>
        <w:t xml:space="preserve">Closest Competitor: Actual Budget</w:t>
      </w:r>
    </w:p>
    <w:p>
      <w:pPr>
        <w:spacing w:after="120" w:before="0"/>
      </w:pPr>
      <w:r>
        <w:rPr>
          <w:rFonts w:ascii="Arial" w:cs="Arial" w:eastAsia="Arial" w:hAnsi="Arial"/>
          <w:color w:val="2D3748"/>
          <w:sz w:val="22"/>
          <w:szCs w:val="22"/>
        </w:rPr>
        <w:t xml:space="preserve">Actual Budget is the most strategically similar product — open source, local-first, and designed for power users. Key differences favor Pocket Watch:</w:t>
      </w:r>
    </w:p>
    <w:p>
      <w:pPr>
        <w:pStyle w:val="ListParagraph"/>
        <w:numPr>
          <w:ilvl w:val="0"/>
          <w:numId w:val="2"/>
        </w:numPr>
        <w:spacing w:after="80" w:before="0"/>
      </w:pPr>
      <w:r>
        <w:rPr>
          <w:rFonts w:ascii="Arial" w:cs="Arial" w:eastAsia="Arial" w:hAnsi="Arial"/>
          <w:color w:val="2D3748"/>
          <w:sz w:val="22"/>
          <w:szCs w:val="22"/>
        </w:rPr>
        <w:t xml:space="preserve">Actual Budget uses envelope/zero-sum budgeting (YNAB-style methodology), which has a steep learning curve. Pocket Watch uses flexible category budgets, more intuitive for most users.</w:t>
      </w:r>
    </w:p>
    <w:p>
      <w:pPr>
        <w:pStyle w:val="ListParagraph"/>
        <w:numPr>
          <w:ilvl w:val="0"/>
          <w:numId w:val="2"/>
        </w:numPr>
        <w:spacing w:after="80" w:before="0"/>
      </w:pPr>
      <w:r>
        <w:rPr>
          <w:rFonts w:ascii="Arial" w:cs="Arial" w:eastAsia="Arial" w:hAnsi="Arial"/>
          <w:color w:val="2D3748"/>
          <w:sz w:val="22"/>
          <w:szCs w:val="22"/>
        </w:rPr>
        <w:t xml:space="preserve">Actual Budget has no investment tracking whatsoever. This is a meaningful gap for tech workers with RSUs.</w:t>
      </w:r>
    </w:p>
    <w:p>
      <w:pPr>
        <w:pStyle w:val="ListParagraph"/>
        <w:numPr>
          <w:ilvl w:val="0"/>
          <w:numId w:val="2"/>
        </w:numPr>
        <w:spacing w:after="80" w:before="0"/>
      </w:pPr>
      <w:r>
        <w:rPr>
          <w:rFonts w:ascii="Arial" w:cs="Arial" w:eastAsia="Arial" w:hAnsi="Arial"/>
          <w:color w:val="2D3748"/>
          <w:sz w:val="22"/>
          <w:szCs w:val="22"/>
        </w:rPr>
        <w:t xml:space="preserve">Actual Budget has no FIRE calculator, cashflow projection, or tax summary features.</w:t>
      </w:r>
    </w:p>
    <w:p>
      <w:pPr>
        <w:pStyle w:val="ListParagraph"/>
        <w:numPr>
          <w:ilvl w:val="0"/>
          <w:numId w:val="2"/>
        </w:numPr>
        <w:spacing w:after="80" w:before="0"/>
      </w:pPr>
      <w:r>
        <w:rPr>
          <w:rFonts w:ascii="Arial" w:cs="Arial" w:eastAsia="Arial" w:hAnsi="Arial"/>
          <w:color w:val="2D3748"/>
          <w:sz w:val="22"/>
          <w:szCs w:val="22"/>
        </w:rPr>
        <w:t xml:space="preserve">Pocket Watch's auto-categorization (merchant keyword matching + memory hook) significantly reduces manual data entry burden.</w:t>
      </w:r>
    </w:p>
    <w:p>
      <w:pPr>
        <w:spacing w:after="120" w:before="0"/>
      </w:pPr>
      <w:r>
        <w:t xml:space="preserve"/>
      </w:r>
    </w:p>
    <w:p>
      <w:pPr>
        <w:pStyle w:val="Heading3"/>
        <w:spacing w:after="60" w:before="200"/>
      </w:pPr>
      <w:r>
        <w:rPr>
          <w:rFonts w:ascii="Arial" w:cs="Arial" w:eastAsia="Arial" w:hAnsi="Arial"/>
          <w:b/>
          <w:bCs/>
          <w:color w:val="1A6B55"/>
          <w:sz w:val="23"/>
          <w:szCs w:val="23"/>
        </w:rPr>
        <w:t xml:space="preserve">Biggest Threat: Copilot</w:t>
      </w:r>
    </w:p>
    <w:p>
      <w:pPr>
        <w:spacing w:after="120" w:before="0"/>
      </w:pPr>
      <w:r>
        <w:rPr>
          <w:rFonts w:ascii="Arial" w:cs="Arial" w:eastAsia="Arial" w:hAnsi="Arial"/>
          <w:color w:val="2D3748"/>
          <w:sz w:val="22"/>
          <w:szCs w:val="22"/>
        </w:rPr>
        <w:t xml:space="preserve">Copilot is the best-designed personal finance app currently on the market. Its AI-powered categorization and clean native iOS/macOS UX set a high bar. The critical weakness is its subscription price ($168/yr), cloud-only data, and Plaid dependency. Users who care about privacy will not use Copilot regardless of its UX quality. This is Pocket Watch's protected moat.</w:t>
      </w:r>
    </w:p>
    <w:p>
      <w:r>
        <w:br w:type="page"/>
      </w:r>
    </w:p>
    <w:p>
      <w:pPr>
        <w:spacing w:after="240" w:before="0"/>
      </w:pPr>
      <w:r>
        <w:t xml:space="preserve"/>
      </w:r>
    </w:p>
    <w:p>
      <w:pPr>
        <w:pStyle w:val="Heading1"/>
        <w:spacing w:after="80" w:before="360"/>
      </w:pPr>
      <w:r>
        <w:rPr>
          <w:rFonts w:ascii="Arial" w:cs="Arial" w:eastAsia="Arial" w:hAnsi="Arial"/>
          <w:b/>
          <w:bCs/>
          <w:color w:val="1A6B55"/>
          <w:sz w:val="32"/>
          <w:szCs w:val="32"/>
        </w:rPr>
        <w:t xml:space="preserve">3. Product Roadmap</w:t>
      </w:r>
    </w:p>
    <w:p>
      <w:pPr>
        <w:pBdr>
          <w:bottom w:val="single" w:color="1A6B55" w:sz="6" w:space="1"/>
        </w:pBdr>
        <w:spacing w:after="120" w:before="0"/>
      </w:pPr>
    </w:p>
    <w:p>
      <w:pPr>
        <w:pStyle w:val="Heading2"/>
        <w:spacing w:after="80" w:before="240"/>
      </w:pPr>
      <w:r>
        <w:rPr>
          <w:rFonts w:ascii="Arial" w:cs="Arial" w:eastAsia="Arial" w:hAnsi="Arial"/>
          <w:b/>
          <w:bCs/>
          <w:color w:val="2D3748"/>
          <w:sz w:val="26"/>
          <w:szCs w:val="26"/>
        </w:rPr>
        <w:t xml:space="preserve">3.1  Roadmap Principles</w:t>
      </w:r>
    </w:p>
    <w:p>
      <w:pPr>
        <w:spacing w:after="120" w:before="0"/>
      </w:pPr>
      <w:r>
        <w:rPr>
          <w:rFonts w:ascii="Arial" w:cs="Arial" w:eastAsia="Arial" w:hAnsi="Arial"/>
          <w:color w:val="2D3748"/>
          <w:sz w:val="22"/>
          <w:szCs w:val="22"/>
        </w:rPr>
        <w:t xml:space="preserve">The roadmap below is organized around three strategic priorities: closing the critical gap with mobile (iOS/Android), deepening the privacy-first power user features that competitors cannot match, and building the monetization infrastructure that funds long-term development.</w:t>
      </w:r>
    </w:p>
    <w:p>
      <w:pPr>
        <w:spacing w:after="80" w:before="0"/>
      </w:pPr>
      <w:r>
        <w:t xml:space="preserve"/>
      </w:r>
    </w:p>
    <w:p>
      <w:pPr>
        <w:pStyle w:val="ListParagraph"/>
        <w:numPr>
          <w:ilvl w:val="0"/>
          <w:numId w:val="2"/>
        </w:numPr>
        <w:spacing w:after="80" w:before="0"/>
      </w:pPr>
      <w:r>
        <w:rPr>
          <w:rFonts w:ascii="Arial" w:cs="Arial" w:eastAsia="Arial" w:hAnsi="Arial"/>
          <w:color w:val="2D3748"/>
          <w:sz w:val="22"/>
          <w:szCs w:val="22"/>
        </w:rPr>
        <w:t xml:space="preserve">Every feature must respect the local-first principle. Nothing is cloud-first or cloud-only.</w:t>
      </w:r>
    </w:p>
    <w:p>
      <w:pPr>
        <w:pStyle w:val="ListParagraph"/>
        <w:numPr>
          <w:ilvl w:val="0"/>
          <w:numId w:val="2"/>
        </w:numPr>
        <w:spacing w:after="80" w:before="0"/>
      </w:pPr>
      <w:r>
        <w:rPr>
          <w:rFonts w:ascii="Arial" w:cs="Arial" w:eastAsia="Arial" w:hAnsi="Arial"/>
          <w:color w:val="2D3748"/>
          <w:sz w:val="22"/>
          <w:szCs w:val="22"/>
        </w:rPr>
        <w:t xml:space="preserve">Features that require a network connection (market data, sync, AI) must be fully opt-in.</w:t>
      </w:r>
    </w:p>
    <w:p>
      <w:pPr>
        <w:pStyle w:val="ListParagraph"/>
        <w:numPr>
          <w:ilvl w:val="0"/>
          <w:numId w:val="2"/>
        </w:numPr>
        <w:spacing w:after="80" w:before="0"/>
      </w:pPr>
      <w:r>
        <w:rPr>
          <w:rFonts w:ascii="Arial" w:cs="Arial" w:eastAsia="Arial" w:hAnsi="Arial"/>
          <w:color w:val="2D3748"/>
          <w:sz w:val="22"/>
          <w:szCs w:val="22"/>
        </w:rPr>
        <w:t xml:space="preserve">The Windows desktop app remains the primary platform and reference implementation.</w:t>
      </w:r>
    </w:p>
    <w:p>
      <w:pPr>
        <w:spacing w:after="200" w:before="0"/>
      </w:pPr>
      <w:r>
        <w:t xml:space="preserve"/>
      </w:r>
    </w:p>
    <w:p>
      <w:pPr>
        <w:pStyle w:val="Heading2"/>
        <w:spacing w:after="80" w:before="240"/>
      </w:pPr>
      <w:r>
        <w:rPr>
          <w:rFonts w:ascii="Arial" w:cs="Arial" w:eastAsia="Arial" w:hAnsi="Arial"/>
          <w:b/>
          <w:bCs/>
          <w:color w:val="2D3748"/>
          <w:sz w:val="26"/>
          <w:szCs w:val="26"/>
        </w:rPr>
        <w:t xml:space="preserve">3.2  Phase 1 — Foundation Hardening (0–3 months)</w:t>
      </w:r>
    </w:p>
    <w:p>
      <w:pPr>
        <w:spacing w:after="120" w:before="0"/>
      </w:pPr>
      <w:r>
        <w:rPr>
          <w:rFonts w:ascii="Arial" w:cs="Arial" w:eastAsia="Arial" w:hAnsi="Arial"/>
          <w:color w:val="2D3748"/>
          <w:sz w:val="22"/>
          <w:szCs w:val="22"/>
        </w:rPr>
        <w:t xml:space="preserve">These items address stability, security, and cross-platform readiness before any public launch or paid offering.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440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176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Error Boundaries</w:t>
            </w:r>
          </w:p>
        </w:tc>
        <w:tc>
          <w:tcPr>
            <w:tcW w:type="dxa" w:w="4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Wrap each major page component in a React error boundary. A Transactions crash should not kill the entire app. Show a graceful "Something went wrong" panel with a reload button.</w:t>
            </w:r>
          </w:p>
        </w:tc>
        <w:tc>
          <w:tcPr>
            <w:tcW w:type="dxa" w:w="17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C53030"/>
                <w:sz w:val="20"/>
                <w:szCs w:val="20"/>
              </w:rPr>
              <w:t xml:space="preserve">🔴  Critical</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API Key Encryption</w:t>
            </w:r>
          </w:p>
        </w:tc>
        <w:tc>
          <w:tcPr>
            <w:tcW w:type="dxa" w:w="4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Move the Finnhub key from the JSON data file into the OS keychain using Tauri's keychain plugin. The key is financial-account-adjacent and should not live in the plaintext backup file.</w:t>
            </w:r>
          </w:p>
        </w:tc>
        <w:tc>
          <w:tcPr>
            <w:tcW w:type="dxa" w:w="1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C53030"/>
                <w:sz w:val="20"/>
                <w:szCs w:val="20"/>
              </w:rPr>
              <w:t xml:space="preserve">🔴  Critical</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Swap Math.random() for crypto.randomUUID()</w:t>
            </w:r>
          </w:p>
        </w:tc>
        <w:tc>
          <w:tcPr>
            <w:tcW w:type="dxa" w:w="4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The uid() function in constants.js uses Math.random(). Replace with self.crypto.randomUUID() for collision-proof IDs. Important before multi-device sync.</w:t>
            </w:r>
          </w:p>
        </w:tc>
        <w:tc>
          <w:tcPr>
            <w:tcW w:type="dxa" w:w="17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D97706"/>
                <w:sz w:val="20"/>
                <w:szCs w:val="20"/>
              </w:rPr>
              <w:t xml:space="preserve">🟠  High</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Unit Test Suite</w:t>
            </w:r>
          </w:p>
        </w:tc>
        <w:tc>
          <w:tcPr>
            <w:tcW w:type="dxa" w:w="4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Add Vitest + React Testing Library. Critical paths to cover: CSV parsing / import, autoCategory(), getNextRecurDate(), FIRE calculation, archive/restore roundtrip.</w:t>
            </w:r>
          </w:p>
        </w:tc>
        <w:tc>
          <w:tcPr>
            <w:tcW w:type="dxa" w:w="1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D97706"/>
                <w:sz w:val="20"/>
                <w:szCs w:val="20"/>
              </w:rPr>
              <w:t xml:space="preserve">🟠  High</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macOS + Linux Builds</w:t>
            </w:r>
          </w:p>
        </w:tc>
        <w:tc>
          <w:tcPr>
            <w:tcW w:type="dxa" w:w="4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Tauri already supports both platforms. Commission a macOS build pipeline and test on macOS 14 (Sonoma). Unlock the Mac power-user demographic without any code changes.</w:t>
            </w:r>
          </w:p>
        </w:tc>
        <w:tc>
          <w:tcPr>
            <w:tcW w:type="dxa" w:w="17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D97706"/>
                <w:sz w:val="20"/>
                <w:szCs w:val="20"/>
              </w:rPr>
              <w:t xml:space="preserve">🟠  High</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TypeScript Migration (partial)</w:t>
            </w:r>
          </w:p>
        </w:tc>
        <w:tc>
          <w:tcPr>
            <w:tcW w:type="dxa" w:w="4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Add TS declarations for the core data model (Transaction, Account, Budget, Grant types). Does not require migrating all JSX. Catches prop mismatches at build time.</w:t>
            </w:r>
          </w:p>
        </w:tc>
        <w:tc>
          <w:tcPr>
            <w:tcW w:type="dxa" w:w="1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Medium</w:t>
            </w:r>
          </w:p>
        </w:tc>
      </w:tr>
    </w:tbl>
    <w:p>
      <w:pPr>
        <w:spacing w:after="200" w:before="0"/>
      </w:pPr>
      <w:r>
        <w:t xml:space="preserve"/>
      </w:r>
    </w:p>
    <w:p>
      <w:pPr>
        <w:pStyle w:val="Heading2"/>
        <w:spacing w:after="80" w:before="240"/>
      </w:pPr>
      <w:r>
        <w:rPr>
          <w:rFonts w:ascii="Arial" w:cs="Arial" w:eastAsia="Arial" w:hAnsi="Arial"/>
          <w:b/>
          <w:bCs/>
          <w:color w:val="2D3748"/>
          <w:sz w:val="26"/>
          <w:szCs w:val="26"/>
        </w:rPr>
        <w:t xml:space="preserve">3.3  Phase 2 — Mobile &amp; Sync (3–9 months)</w:t>
      </w:r>
    </w:p>
    <w:p>
      <w:pPr>
        <w:spacing w:after="120" w:before="0"/>
      </w:pPr>
      <w:r>
        <w:rPr>
          <w:rFonts w:ascii="Arial" w:cs="Arial" w:eastAsia="Arial" w:hAnsi="Arial"/>
          <w:color w:val="2D3748"/>
          <w:sz w:val="22"/>
          <w:szCs w:val="22"/>
        </w:rPr>
        <w:t xml:space="preserve">The iOS/Android roadmap is the single highest-leverage investment. It unlocks daily engagement (vs. weekly desktop reviews) and dramatically expands the addressable market. The architectural challenge is solving sync without compromising privacy.</w:t>
      </w:r>
    </w:p>
    <w:p>
      <w:pPr>
        <w:spacing w:after="80" w:before="0"/>
      </w:pPr>
      <w:r>
        <w:t xml:space="preserve"/>
      </w:r>
    </w:p>
    <w:p>
      <w:pPr>
        <w:pStyle w:val="Heading3"/>
        <w:spacing w:after="60" w:before="200"/>
      </w:pPr>
      <w:r>
        <w:rPr>
          <w:rFonts w:ascii="Arial" w:cs="Arial" w:eastAsia="Arial" w:hAnsi="Arial"/>
          <w:b/>
          <w:bCs/>
          <w:color w:val="1A6B55"/>
          <w:sz w:val="23"/>
          <w:szCs w:val="23"/>
        </w:rPr>
        <w:t xml:space="preserve">Recommended Sync Architecture: File-Based P2P</w:t>
      </w:r>
    </w:p>
    <w:p>
      <w:pPr>
        <w:spacing w:after="120" w:before="0"/>
      </w:pPr>
      <w:r>
        <w:rPr>
          <w:rFonts w:ascii="Arial" w:cs="Arial" w:eastAsia="Arial" w:hAnsi="Arial"/>
          <w:color w:val="2D3748"/>
          <w:sz w:val="22"/>
          <w:szCs w:val="22"/>
        </w:rPr>
        <w:t xml:space="preserve">Rather than building a cloud backend, leverage file sync services the user already trusts: iCloud Drive, Dropbox, Google Drive, or Syncthing. The data file is already a self-contained JSON document. The mobile app reads and writes the same file, and the cloud provider handles conflict resolution. This approach has zero backend cost and zero privacy compromise.</w:t>
      </w:r>
    </w:p>
    <w:p>
      <w:pPr>
        <w:pStyle w:val="ListParagraph"/>
        <w:numPr>
          <w:ilvl w:val="0"/>
          <w:numId w:val="2"/>
        </w:numPr>
        <w:spacing w:after="80" w:before="0"/>
      </w:pPr>
      <w:r>
        <w:rPr>
          <w:rFonts w:ascii="Arial" w:cs="Arial" w:eastAsia="Arial" w:hAnsi="Arial"/>
          <w:color w:val="2D3748"/>
          <w:sz w:val="22"/>
          <w:szCs w:val="22"/>
        </w:rPr>
        <w:t xml:space="preserve">Desktop app writes to ~/Dropbox/PocketWatch/pocket-watch.json (or iCloud Drive equivalent)</w:t>
      </w:r>
    </w:p>
    <w:p>
      <w:pPr>
        <w:pStyle w:val="ListParagraph"/>
        <w:numPr>
          <w:ilvl w:val="0"/>
          <w:numId w:val="2"/>
        </w:numPr>
        <w:spacing w:after="80" w:before="0"/>
      </w:pPr>
      <w:r>
        <w:rPr>
          <w:rFonts w:ascii="Arial" w:cs="Arial" w:eastAsia="Arial" w:hAnsi="Arial"/>
          <w:color w:val="2D3748"/>
          <w:sz w:val="22"/>
          <w:szCs w:val="22"/>
        </w:rPr>
        <w:t xml:space="preserve">Mobile app reads the same file via the Files app integration (iOS Documents provider API)</w:t>
      </w:r>
    </w:p>
    <w:p>
      <w:pPr>
        <w:pStyle w:val="ListParagraph"/>
        <w:numPr>
          <w:ilvl w:val="0"/>
          <w:numId w:val="2"/>
        </w:numPr>
        <w:spacing w:after="80" w:before="0"/>
      </w:pPr>
      <w:r>
        <w:rPr>
          <w:rFonts w:ascii="Arial" w:cs="Arial" w:eastAsia="Arial" w:hAnsi="Arial"/>
          <w:color w:val="2D3748"/>
          <w:sz w:val="22"/>
          <w:szCs w:val="22"/>
        </w:rPr>
        <w:t xml:space="preserve">Conflict handling: last-write-wins on transaction arrays; merge by ID for non-conflicting additions</w:t>
      </w:r>
    </w:p>
    <w:p>
      <w:pPr>
        <w:pStyle w:val="ListParagraph"/>
        <w:numPr>
          <w:ilvl w:val="0"/>
          <w:numId w:val="2"/>
        </w:numPr>
        <w:spacing w:after="80" w:before="0"/>
      </w:pPr>
      <w:r>
        <w:rPr>
          <w:rFonts w:ascii="Arial" w:cs="Arial" w:eastAsia="Arial" w:hAnsi="Arial"/>
          <w:color w:val="2D3748"/>
          <w:sz w:val="22"/>
          <w:szCs w:val="22"/>
        </w:rPr>
        <w:t xml:space="preserve">Optional: lightweight CRDTs for concurrent edits from multiple devices</w:t>
      </w:r>
    </w:p>
    <w:p>
      <w:pPr>
        <w:spacing w:after="120" w:before="0"/>
      </w:pPr>
      <w:r>
        <w:t xml:space="preserve"/>
      </w:r>
    </w:p>
    <w:p>
      <w:pPr>
        <w:pStyle w:val="Heading3"/>
        <w:spacing w:after="60" w:before="200"/>
      </w:pPr>
      <w:r>
        <w:rPr>
          <w:rFonts w:ascii="Arial" w:cs="Arial" w:eastAsia="Arial" w:hAnsi="Arial"/>
          <w:b/>
          <w:bCs/>
          <w:color w:val="1A6B55"/>
          <w:sz w:val="23"/>
          <w:szCs w:val="23"/>
        </w:rPr>
        <w:t xml:space="preserve">Mobile Feature Scope (iOS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Must Have (v1)</w:t>
            </w:r>
          </w:p>
        </w:tc>
        <w:tc>
          <w:tcPr>
            <w:tcW w:type="dxa" w:w="468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Nice to Have (v2)</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Quick-add transaction (from Siri Shortcuts / home screen widget)</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Face ID / Touch ID app lock</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Transaction list with filters + search</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Push notifications for budget alerts</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Dashboard — net worth, FIRE, monthly summary</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Receipt photo scan → OCR → transaction prefill</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Budget status at a glance</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Apple Watch complication (daily spend)</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File sync setup wizard (iCloud / Dropbox picker)</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Bank statement CSV import from Files app</w:t>
            </w:r>
          </w:p>
        </w:tc>
      </w:tr>
    </w:tbl>
    <w:p>
      <w:pPr>
        <w:spacing w:after="200" w:before="0"/>
      </w:pPr>
      <w:r>
        <w:t xml:space="preserve"/>
      </w:r>
    </w:p>
    <w:p>
      <w:pPr>
        <w:pStyle w:val="Heading2"/>
        <w:spacing w:after="80" w:before="240"/>
      </w:pPr>
      <w:r>
        <w:rPr>
          <w:rFonts w:ascii="Arial" w:cs="Arial" w:eastAsia="Arial" w:hAnsi="Arial"/>
          <w:b/>
          <w:bCs/>
          <w:color w:val="2D3748"/>
          <w:sz w:val="26"/>
          <w:szCs w:val="26"/>
        </w:rPr>
        <w:t xml:space="preserve">3.4  Phase 3 — Intelligence &amp; Power Features (9–18 months)</w:t>
      </w:r>
    </w:p>
    <w:p>
      <w:pPr>
        <w:spacing w:after="120" w:before="0"/>
      </w:pPr>
      <w:r>
        <w:rPr>
          <w:rFonts w:ascii="Arial" w:cs="Arial" w:eastAsia="Arial" w:hAnsi="Arial"/>
          <w:color w:val="2D3748"/>
          <w:sz w:val="22"/>
          <w:szCs w:val="22"/>
        </w:rPr>
        <w:t xml:space="preserve">With a stable cross-platform foundation, these features deepen the product's uniqueness and create meaningful switching costs.</w:t>
      </w:r>
    </w:p>
    <w:p>
      <w:pPr>
        <w:spacing w:after="80" w:before="0"/>
      </w:pPr>
      <w:r>
        <w:t xml:space="preserve"/>
      </w:r>
    </w:p>
    <w:p>
      <w:pPr>
        <w:pStyle w:val="Heading3"/>
        <w:spacing w:after="60" w:before="200"/>
      </w:pPr>
      <w:r>
        <w:rPr>
          <w:rFonts w:ascii="Arial" w:cs="Arial" w:eastAsia="Arial" w:hAnsi="Arial"/>
          <w:b/>
          <w:bCs/>
          <w:color w:val="1A6B55"/>
          <w:sz w:val="23"/>
          <w:szCs w:val="23"/>
        </w:rPr>
        <w:t xml:space="preserve">Financial Intelligence Layer</w:t>
      </w:r>
    </w:p>
    <w:p>
      <w:pPr>
        <w:pStyle w:val="ListParagraph"/>
        <w:numPr>
          <w:ilvl w:val="0"/>
          <w:numId w:val="2"/>
        </w:numPr>
        <w:spacing w:after="80" w:before="0"/>
      </w:pPr>
      <w:r>
        <w:rPr>
          <w:rFonts w:ascii="Arial" w:cs="Arial" w:eastAsia="Arial" w:hAnsi="Arial"/>
          <w:color w:val="2D3748"/>
          <w:sz w:val="22"/>
          <w:szCs w:val="22"/>
        </w:rPr>
        <w:t xml:space="preserve">Subscription anomaly detection: flag when a subscription changes price or a free trial converts to paid (already partially implemented — deepen with amount-change alerting)</w:t>
      </w:r>
    </w:p>
    <w:p>
      <w:pPr>
        <w:pStyle w:val="ListParagraph"/>
        <w:numPr>
          <w:ilvl w:val="0"/>
          <w:numId w:val="2"/>
        </w:numPr>
        <w:spacing w:after="80" w:before="0"/>
      </w:pPr>
      <w:r>
        <w:rPr>
          <w:rFonts w:ascii="Arial" w:cs="Arial" w:eastAsia="Arial" w:hAnsi="Arial"/>
          <w:color w:val="2D3748"/>
          <w:sz w:val="22"/>
          <w:szCs w:val="22"/>
        </w:rPr>
        <w:t xml:space="preserve">Spending pattern AI: categorization model trained locally on the user's own transaction history (on-device Core ML on iOS, local ONNX model on desktop). No data leaves the device.</w:t>
      </w:r>
    </w:p>
    <w:p>
      <w:pPr>
        <w:pStyle w:val="ListParagraph"/>
        <w:numPr>
          <w:ilvl w:val="0"/>
          <w:numId w:val="2"/>
        </w:numPr>
        <w:spacing w:after="80" w:before="0"/>
      </w:pPr>
      <w:r>
        <w:rPr>
          <w:rFonts w:ascii="Arial" w:cs="Arial" w:eastAsia="Arial" w:hAnsi="Arial"/>
          <w:color w:val="2D3748"/>
          <w:sz w:val="22"/>
          <w:szCs w:val="22"/>
        </w:rPr>
        <w:t xml:space="preserve">Irregular income normalization: for freelancers, smooth irregular income into a monthly average for budget and FIRE calculations</w:t>
      </w:r>
    </w:p>
    <w:p>
      <w:pPr>
        <w:pStyle w:val="ListParagraph"/>
        <w:numPr>
          <w:ilvl w:val="0"/>
          <w:numId w:val="2"/>
        </w:numPr>
        <w:spacing w:after="80" w:before="0"/>
      </w:pPr>
      <w:r>
        <w:rPr>
          <w:rFonts w:ascii="Arial" w:cs="Arial" w:eastAsia="Arial" w:hAnsi="Arial"/>
          <w:color w:val="2D3748"/>
          <w:sz w:val="22"/>
          <w:szCs w:val="22"/>
        </w:rPr>
        <w:t xml:space="preserve">Debt payoff optimizer: existing snowball/avalanche calculator extended with what-if scenarios and payoff timeline charts</w:t>
      </w:r>
    </w:p>
    <w:p>
      <w:pPr>
        <w:spacing w:after="120" w:before="0"/>
      </w:pPr>
      <w:r>
        <w:t xml:space="preserve"/>
      </w:r>
    </w:p>
    <w:p>
      <w:pPr>
        <w:pStyle w:val="Heading3"/>
        <w:spacing w:after="60" w:before="200"/>
      </w:pPr>
      <w:r>
        <w:rPr>
          <w:rFonts w:ascii="Arial" w:cs="Arial" w:eastAsia="Arial" w:hAnsi="Arial"/>
          <w:b/>
          <w:bCs/>
          <w:color w:val="1A6B55"/>
          <w:sz w:val="23"/>
          <w:szCs w:val="23"/>
        </w:rPr>
        <w:t xml:space="preserve">Tax &amp; Reporting Enhancements</w:t>
      </w:r>
    </w:p>
    <w:p>
      <w:pPr>
        <w:pStyle w:val="ListParagraph"/>
        <w:numPr>
          <w:ilvl w:val="0"/>
          <w:numId w:val="2"/>
        </w:numPr>
        <w:spacing w:after="80" w:before="0"/>
      </w:pPr>
      <w:r>
        <w:rPr>
          <w:rFonts w:ascii="Arial" w:cs="Arial" w:eastAsia="Arial" w:hAnsi="Arial"/>
          <w:color w:val="2D3748"/>
          <w:sz w:val="22"/>
          <w:szCs w:val="22"/>
        </w:rPr>
        <w:t xml:space="preserve">TurboTax / TaxAct export: export tax-deductible transactions as a CSV compatible with Schedule C and Schedule A inputs</w:t>
      </w:r>
    </w:p>
    <w:p>
      <w:pPr>
        <w:pStyle w:val="ListParagraph"/>
        <w:numPr>
          <w:ilvl w:val="0"/>
          <w:numId w:val="2"/>
        </w:numPr>
        <w:spacing w:after="80" w:before="0"/>
      </w:pPr>
      <w:r>
        <w:rPr>
          <w:rFonts w:ascii="Arial" w:cs="Arial" w:eastAsia="Arial" w:hAnsi="Arial"/>
          <w:color w:val="2D3748"/>
          <w:sz w:val="22"/>
          <w:szCs w:val="22"/>
        </w:rPr>
        <w:t xml:space="preserve">1099 income tracker: flag income transactions that may trigger 1099 filing requirements (&gt;$600 from a single source)</w:t>
      </w:r>
    </w:p>
    <w:p>
      <w:pPr>
        <w:pStyle w:val="ListParagraph"/>
        <w:numPr>
          <w:ilvl w:val="0"/>
          <w:numId w:val="2"/>
        </w:numPr>
        <w:spacing w:after="80" w:before="0"/>
      </w:pPr>
      <w:r>
        <w:rPr>
          <w:rFonts w:ascii="Arial" w:cs="Arial" w:eastAsia="Arial" w:hAnsi="Arial"/>
          <w:color w:val="2D3748"/>
          <w:sz w:val="22"/>
          <w:szCs w:val="22"/>
        </w:rPr>
        <w:t xml:space="preserve">Capital gains estimation: for equity grants, compute estimated short-term vs. long-term capital gains based on vest dates and current prices</w:t>
      </w:r>
    </w:p>
    <w:p>
      <w:pPr>
        <w:spacing w:after="120" w:before="0"/>
      </w:pPr>
      <w:r>
        <w:t xml:space="preserve"/>
      </w:r>
    </w:p>
    <w:p>
      <w:pPr>
        <w:pStyle w:val="Heading3"/>
        <w:spacing w:after="60" w:before="200"/>
      </w:pPr>
      <w:r>
        <w:rPr>
          <w:rFonts w:ascii="Arial" w:cs="Arial" w:eastAsia="Arial" w:hAnsi="Arial"/>
          <w:b/>
          <w:bCs/>
          <w:color w:val="1A6B55"/>
          <w:sz w:val="23"/>
          <w:szCs w:val="23"/>
        </w:rPr>
        <w:t xml:space="preserve">Collaboration &amp; Sharing</w:t>
      </w:r>
    </w:p>
    <w:p>
      <w:pPr>
        <w:pStyle w:val="ListParagraph"/>
        <w:numPr>
          <w:ilvl w:val="0"/>
          <w:numId w:val="2"/>
        </w:numPr>
        <w:spacing w:after="80" w:before="0"/>
      </w:pPr>
      <w:r>
        <w:rPr>
          <w:rFonts w:ascii="Arial" w:cs="Arial" w:eastAsia="Arial" w:hAnsi="Arial"/>
          <w:color w:val="2D3748"/>
          <w:sz w:val="22"/>
          <w:szCs w:val="22"/>
        </w:rPr>
        <w:t xml:space="preserve">Household / couple mode: a second "profile" in the same file, with shared accounts and separate personal budgets — no cloud required</w:t>
      </w:r>
    </w:p>
    <w:p>
      <w:pPr>
        <w:pStyle w:val="ListParagraph"/>
        <w:numPr>
          <w:ilvl w:val="0"/>
          <w:numId w:val="2"/>
        </w:numPr>
        <w:spacing w:after="80" w:before="0"/>
      </w:pPr>
      <w:r>
        <w:rPr>
          <w:rFonts w:ascii="Arial" w:cs="Arial" w:eastAsia="Arial" w:hAnsi="Arial"/>
          <w:color w:val="2D3748"/>
          <w:sz w:val="22"/>
          <w:szCs w:val="22"/>
        </w:rPr>
        <w:t xml:space="preserve">Read-only share link: generate an encrypted HTML snapshot of the net worth dashboard that can be shared with a financial advisor without giving them edit access</w:t>
      </w:r>
    </w:p>
    <w:p>
      <w:pPr>
        <w:pStyle w:val="ListParagraph"/>
        <w:numPr>
          <w:ilvl w:val="0"/>
          <w:numId w:val="2"/>
        </w:numPr>
        <w:spacing w:after="80" w:before="0"/>
      </w:pPr>
      <w:r>
        <w:rPr>
          <w:rFonts w:ascii="Arial" w:cs="Arial" w:eastAsia="Arial" w:hAnsi="Arial"/>
          <w:color w:val="2D3748"/>
          <w:sz w:val="22"/>
          <w:szCs w:val="22"/>
        </w:rPr>
        <w:t xml:space="preserve">Anonymous benchmarking (opt-in): compare spend by category against anonymized aggregates from users who opt in</w:t>
      </w:r>
    </w:p>
    <w:p>
      <w:pPr>
        <w:spacing w:after="200" w:before="0"/>
      </w:pPr>
      <w:r>
        <w:t xml:space="preserve"/>
      </w:r>
    </w:p>
    <w:p>
      <w:pPr>
        <w:pStyle w:val="Heading2"/>
        <w:spacing w:after="80" w:before="240"/>
      </w:pPr>
      <w:r>
        <w:rPr>
          <w:rFonts w:ascii="Arial" w:cs="Arial" w:eastAsia="Arial" w:hAnsi="Arial"/>
          <w:b/>
          <w:bCs/>
          <w:color w:val="2D3748"/>
          <w:sz w:val="26"/>
          <w:szCs w:val="26"/>
        </w:rPr>
        <w:t xml:space="preserve">3.5  Phase 4 — Platform &amp; Monetization (18–36 months)</w:t>
      </w:r>
    </w:p>
    <w:p>
      <w:pPr>
        <w:pStyle w:val="Heading3"/>
        <w:spacing w:after="60" w:before="200"/>
      </w:pPr>
      <w:r>
        <w:rPr>
          <w:rFonts w:ascii="Arial" w:cs="Arial" w:eastAsia="Arial" w:hAnsi="Arial"/>
          <w:b/>
          <w:bCs/>
          <w:color w:val="1A6B55"/>
          <w:sz w:val="23"/>
          <w:szCs w:val="23"/>
        </w:rPr>
        <w:t xml:space="preserve">Monetization Recommendation</w:t>
      </w:r>
    </w:p>
    <w:p>
      <w:pPr>
        <w:spacing w:after="120" w:before="0"/>
      </w:pPr>
      <w:r>
        <w:rPr>
          <w:rFonts w:ascii="Arial" w:cs="Arial" w:eastAsia="Arial" w:hAnsi="Arial"/>
          <w:color w:val="2D3748"/>
          <w:sz w:val="22"/>
          <w:szCs w:val="22"/>
        </w:rPr>
        <w:t xml:space="preserve">Given the privacy-first positioning and undecided monetization status, the following model is strongly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624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What's Included</w:t>
            </w:r>
          </w:p>
        </w:tc>
      </w:tr>
      <w:tr>
        <w:tc>
          <w:tcPr>
            <w:tcW w:type="dxa" w:w="3120"/>
            <w:tcBorders>
              <w:top w:val="single" w:color="CBD5E0" w:sz="1"/>
              <w:left w:val="single" w:color="CBD5E0" w:sz="1"/>
              <w:bottom w:val="single" w:color="CBD5E0" w:sz="1"/>
              <w:right w:val="single" w:color="CBD5E0" w:sz="1"/>
            </w:tcBorders>
            <w:shd w:fill="D6EDE7" w:val="clear"/>
            <w:tcMar>
              <w:top w:type="dxa" w:w="80"/>
              <w:left w:type="dxa" w:w="120"/>
              <w:bottom w:type="dxa" w:w="80"/>
              <w:right w:type="dxa" w:w="120"/>
            </w:tcMar>
            <w:vAlign w:val="center"/>
          </w:tcPr>
          <w:p>
            <w:r>
              <w:rPr>
                <w:rFonts w:ascii="Arial" w:cs="Arial" w:eastAsia="Arial" w:hAnsi="Arial"/>
                <w:b/>
                <w:bCs/>
                <w:color w:val="2D3748"/>
                <w:sz w:val="20"/>
                <w:szCs w:val="20"/>
              </w:rPr>
              <w:t xml:space="preserve">Free Forever (Desktop)</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All current desktop features, unlimited data, XLSX/CSV export, market data via own API key. No time limit, no feature cap. This is the hook — it is genuinely the best free desktop finance app.</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Pro — $49 one-time</w:t>
            </w:r>
          </w:p>
        </w:tc>
        <w:tc>
          <w:tcPr>
            <w:tcW w:type="dxa" w:w="62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iOS + Android app, file sync setup wizard, priority support, early access to new features. One-time purchase per person, covers all devices. No subscription, ever.</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Household — $79 one-time</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Everything in Pro, plus household/couple mode for 2 profiles. Optional: shared grocery / household budget view.</w:t>
            </w:r>
          </w:p>
        </w:tc>
      </w:tr>
    </w:tbl>
    <w:p>
      <w:pPr>
        <w:spacing w:after="120" w:before="0"/>
      </w:pPr>
      <w:r>
        <w:t xml:space="preserve"/>
      </w:r>
    </w:p>
    <w:p>
      <w:pPr>
        <w:spacing w:after="120" w:before="0"/>
      </w:pPr>
      <w:r>
        <w:rPr>
          <w:rFonts w:ascii="Arial" w:cs="Arial" w:eastAsia="Arial" w:hAnsi="Arial"/>
          <w:color w:val="2D3748"/>
          <w:sz w:val="22"/>
          <w:szCs w:val="22"/>
        </w:rPr>
        <w:t xml:space="preserve">The one-time pricing model is a powerful differentiator in a market where every competitor charges monthly. It resonates deeply with users who left YNAB over its price increase and users who are wary of recurring charges after Mint's shutdown. The desktop remaining free permanently gives the product a distribution moat — it spreads through word of mouth in developer communities without a sales or marketing investment.</w:t>
      </w:r>
    </w:p>
    <w:p>
      <w:r>
        <w:br w:type="page"/>
      </w:r>
    </w:p>
    <w:p>
      <w:pPr>
        <w:spacing w:after="240" w:before="0"/>
      </w:pPr>
      <w:r>
        <w:t xml:space="preserve"/>
      </w:r>
    </w:p>
    <w:p>
      <w:pPr>
        <w:pStyle w:val="Heading1"/>
        <w:spacing w:after="80" w:before="360"/>
      </w:pPr>
      <w:r>
        <w:rPr>
          <w:rFonts w:ascii="Arial" w:cs="Arial" w:eastAsia="Arial" w:hAnsi="Arial"/>
          <w:b/>
          <w:bCs/>
          <w:color w:val="1A6B55"/>
          <w:sz w:val="32"/>
          <w:szCs w:val="32"/>
        </w:rPr>
        <w:t xml:space="preserve">4. Code Stability &amp; Security Analysis</w:t>
      </w:r>
    </w:p>
    <w:p>
      <w:pPr>
        <w:pBdr>
          <w:bottom w:val="single" w:color="1A6B55" w:sz="6" w:space="1"/>
        </w:pBdr>
        <w:spacing w:after="120" w:before="0"/>
      </w:pPr>
    </w:p>
    <w:p>
      <w:pPr>
        <w:pStyle w:val="Heading2"/>
        <w:spacing w:after="80" w:before="240"/>
      </w:pPr>
      <w:r>
        <w:rPr>
          <w:rFonts w:ascii="Arial" w:cs="Arial" w:eastAsia="Arial" w:hAnsi="Arial"/>
          <w:b/>
          <w:bCs/>
          <w:color w:val="2D3748"/>
          <w:sz w:val="26"/>
          <w:szCs w:val="26"/>
        </w:rPr>
        <w:t xml:space="preserve">4.1  Stability Assessment</w:t>
      </w:r>
    </w:p>
    <w:p>
      <w:pPr>
        <w:spacing w:after="120" w:before="0"/>
      </w:pPr>
      <w:r>
        <w:rPr>
          <w:rFonts w:ascii="Arial" w:cs="Arial" w:eastAsia="Arial" w:hAnsi="Arial"/>
          <w:color w:val="2D3748"/>
          <w:sz w:val="22"/>
          <w:szCs w:val="22"/>
        </w:rPr>
        <w:t xml:space="preserve">The codebase was manually reviewed against React best practices, data integrity patterns, and common failure modes. The findings are organized by severity.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680"/>
        <w:gridCol w:w="1800"/>
      </w:tblGrid>
      <w:tr>
        <w:tc>
          <w:tcPr>
            <w:tcW w:type="dxa" w:w="288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468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180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28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No error boundaries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An unhandled exception in any component (e.g., a divide-by-zero in a useMemo) produces a blank white screen. No graceful fallback.</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C53030"/>
                <w:sz w:val="20"/>
                <w:szCs w:val="20"/>
              </w:rPr>
              <w:t xml:space="preserve">🔴  High</w:t>
            </w:r>
          </w:p>
        </w:tc>
      </w:tr>
      <w:tr>
        <w:tc>
          <w:tcPr>
            <w:tcW w:type="dxa" w:w="28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No test suite</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Zero automated tests. Regression risks compound with each sprint. The CSV parser, FIRE calculator, and archive/restore logic are particularly regression-sensitive.</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C53030"/>
                <w:sz w:val="20"/>
                <w:szCs w:val="20"/>
              </w:rPr>
              <w:t xml:space="preserve">🔴  High</w:t>
            </w:r>
          </w:p>
        </w:tc>
      </w:tr>
      <w:tr>
        <w:tc>
          <w:tcPr>
            <w:tcW w:type="dxa" w:w="28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Math.random() for IDs</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uid() uses Math.random().toString(36). Statistically safe at &lt;100K records but not crypto-safe and will cause issues if multi-device sync ever allows concurrent writes from different RNG seeds.</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D97706"/>
                <w:sz w:val="20"/>
                <w:szCs w:val="20"/>
              </w:rPr>
              <w:t xml:space="preserve">🟠  Medium</w:t>
            </w:r>
          </w:p>
        </w:tc>
      </w:tr>
      <w:tr>
        <w:tc>
          <w:tcPr>
            <w:tcW w:type="dxa" w:w="28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Large component files</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App.jsx (750 lines), Equity.jsx (855 lines), Transactions.jsx (~400+ lines) are becoming maintenance liabilities. Each file handles state, handlers, AND rendering.</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D97706"/>
                <w:sz w:val="20"/>
                <w:szCs w:val="20"/>
              </w:rPr>
              <w:t xml:space="preserve">🟠  Medium</w:t>
            </w:r>
          </w:p>
        </w:tc>
      </w:tr>
      <w:tr>
        <w:tc>
          <w:tcPr>
            <w:tcW w:type="dxa" w:w="28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No TypeScript</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Runtime type errors are possible on malformed import data (e.g., a CSV with unexpected column counts) or if a new prop is added without updating all call sites.</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  Low</w:t>
            </w:r>
          </w:p>
        </w:tc>
      </w:tr>
      <w:tr>
        <w:tc>
          <w:tcPr>
            <w:tcW w:type="dxa" w:w="28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archivedTransactions not seeded</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The new-file (seed data) branch does not call setArchivedTransactions([]) explicitly. State defaults to [] from useState which is correct, but the pattern is inconsistent with other state initializations.</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F855A"/>
                <w:sz w:val="20"/>
                <w:szCs w:val="20"/>
              </w:rPr>
              <w:t xml:space="preserve">✅  Cosmetic</w:t>
            </w:r>
          </w:p>
        </w:tc>
      </w:tr>
      <w:tr>
        <w:tc>
          <w:tcPr>
            <w:tcW w:type="dxa" w:w="28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finnhubInput stale on prop change</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Settings.jsx initializes finnhubInput with useState(apiKeys.finnhub) which captures the value at mount. If apiKeys changes elsewhere after Settings mounts, the input field will not reflect it. Benign in practice but worth noting.</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F855A"/>
                <w:sz w:val="20"/>
                <w:szCs w:val="20"/>
              </w:rPr>
              <w:t xml:space="preserve">✅  Cosmetic</w:t>
            </w:r>
          </w:p>
        </w:tc>
      </w:tr>
    </w:tbl>
    <w:p>
      <w:pPr>
        <w:spacing w:after="200" w:before="0"/>
      </w:pPr>
      <w:r>
        <w:t xml:space="preserve"/>
      </w:r>
    </w:p>
    <w:p>
      <w:pPr>
        <w:pStyle w:val="Heading2"/>
        <w:spacing w:after="80" w:before="240"/>
      </w:pPr>
      <w:r>
        <w:rPr>
          <w:rFonts w:ascii="Arial" w:cs="Arial" w:eastAsia="Arial" w:hAnsi="Arial"/>
          <w:b/>
          <w:bCs/>
          <w:color w:val="2D3748"/>
          <w:sz w:val="26"/>
          <w:szCs w:val="26"/>
        </w:rPr>
        <w:t xml:space="preserve">4.2  Security Analysis</w:t>
      </w:r>
    </w:p>
    <w:p>
      <w:pPr>
        <w:pStyle w:val="Heading3"/>
        <w:spacing w:after="60" w:before="200"/>
      </w:pPr>
      <w:r>
        <w:rPr>
          <w:rFonts w:ascii="Arial" w:cs="Arial" w:eastAsia="Arial" w:hAnsi="Arial"/>
          <w:b/>
          <w:bCs/>
          <w:color w:val="1A6B55"/>
          <w:sz w:val="23"/>
          <w:szCs w:val="23"/>
        </w:rPr>
        <w:t xml:space="preserve">Threat Model</w:t>
      </w:r>
    </w:p>
    <w:p>
      <w:pPr>
        <w:spacing w:after="120" w:before="0"/>
      </w:pPr>
      <w:r>
        <w:rPr>
          <w:rFonts w:ascii="Arial" w:cs="Arial" w:eastAsia="Arial" w:hAnsi="Arial"/>
          <w:color w:val="2D3748"/>
          <w:sz w:val="22"/>
          <w:szCs w:val="22"/>
        </w:rPr>
        <w:t xml:space="preserve">Pocket Watch has a fundamentally narrow attack surface: it is a local-only desktop application with no backend, no authentication layer, and no network communication except outbound HTTPS to Finnhub and CoinGecko. The primary threats are:</w:t>
      </w:r>
    </w:p>
    <w:p>
      <w:pPr>
        <w:pStyle w:val="ListParagraph"/>
        <w:numPr>
          <w:ilvl w:val="0"/>
          <w:numId w:val="2"/>
        </w:numPr>
        <w:spacing w:after="80" w:before="0"/>
      </w:pPr>
      <w:r>
        <w:rPr>
          <w:rFonts w:ascii="Arial" w:cs="Arial" w:eastAsia="Arial" w:hAnsi="Arial"/>
          <w:color w:val="2D3748"/>
          <w:sz w:val="22"/>
          <w:szCs w:val="22"/>
        </w:rPr>
        <w:t xml:space="preserve">Physical access to the data file (no encryption at rest)</w:t>
      </w:r>
    </w:p>
    <w:p>
      <w:pPr>
        <w:pStyle w:val="ListParagraph"/>
        <w:numPr>
          <w:ilvl w:val="0"/>
          <w:numId w:val="2"/>
        </w:numPr>
        <w:spacing w:after="80" w:before="0"/>
      </w:pPr>
      <w:r>
        <w:rPr>
          <w:rFonts w:ascii="Arial" w:cs="Arial" w:eastAsia="Arial" w:hAnsi="Arial"/>
          <w:color w:val="2D3748"/>
          <w:sz w:val="22"/>
          <w:szCs w:val="22"/>
        </w:rPr>
        <w:t xml:space="preserve">API key exposure if the data file is shared or synced to an insecure location</w:t>
      </w:r>
    </w:p>
    <w:p>
      <w:pPr>
        <w:pStyle w:val="ListParagraph"/>
        <w:numPr>
          <w:ilvl w:val="0"/>
          <w:numId w:val="2"/>
        </w:numPr>
        <w:spacing w:after="80" w:before="0"/>
      </w:pPr>
      <w:r>
        <w:rPr>
          <w:rFonts w:ascii="Arial" w:cs="Arial" w:eastAsia="Arial" w:hAnsi="Arial"/>
          <w:color w:val="2D3748"/>
          <w:sz w:val="22"/>
          <w:szCs w:val="22"/>
        </w:rPr>
        <w:t xml:space="preserve">Malicious data in an imported CSV or JSON backup file</w:t>
      </w:r>
    </w:p>
    <w:p>
      <w:pPr>
        <w:pStyle w:val="ListParagraph"/>
        <w:numPr>
          <w:ilvl w:val="0"/>
          <w:numId w:val="2"/>
        </w:numPr>
        <w:spacing w:after="80" w:before="0"/>
      </w:pPr>
      <w:r>
        <w:rPr>
          <w:rFonts w:ascii="Arial" w:cs="Arial" w:eastAsia="Arial" w:hAnsi="Arial"/>
          <w:color w:val="2D3748"/>
          <w:sz w:val="22"/>
          <w:szCs w:val="22"/>
        </w:rPr>
        <w:t xml:space="preserve">Supply chain attack via a compromised npm dependency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1560"/>
        <w:gridCol w:w="1440"/>
      </w:tblGrid>
      <w:tr>
        <w:tc>
          <w:tcPr>
            <w:tcW w:type="dxa" w:w="240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w:t>
            </w:r>
          </w:p>
        </w:tc>
        <w:tc>
          <w:tcPr>
            <w:tcW w:type="dxa" w:w="396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Mitigation</w:t>
            </w:r>
          </w:p>
        </w:tc>
        <w:tc>
          <w:tcPr>
            <w:tcW w:type="dxa" w:w="156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Residual Risk</w:t>
            </w:r>
          </w:p>
        </w:tc>
        <w:tc>
          <w:tcPr>
            <w:tcW w:type="dxa" w:w="144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Data file readable by any process</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User-chosen file path, no auto-sync. Relies on OS file permissions.</w:t>
            </w:r>
          </w:p>
        </w:tc>
        <w:tc>
          <w:tcPr>
            <w:tcW w:type="dxa" w:w="1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Medium — NTFS permissions do not encrypt</w:t>
            </w:r>
          </w:p>
        </w:tc>
        <w:tc>
          <w:tcPr>
            <w:tcW w:type="dxa" w:w="14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Optional: encrypt file with user passphrase (Phase 2)</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API key (Finnhub) in plaintext JSON</w:t>
            </w:r>
          </w:p>
        </w:tc>
        <w:tc>
          <w:tcPr>
            <w:tcW w:type="dxa" w:w="3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type="password" input, autoComplete="off". Key never logged.</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Medium — lives in backup-able JSON</w:t>
            </w:r>
          </w:p>
        </w:tc>
        <w:tc>
          <w:tcPr>
            <w:tcW w:type="dxa" w:w="14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C53030"/>
                <w:sz w:val="20"/>
                <w:szCs w:val="20"/>
              </w:rPr>
              <w:t xml:space="preserve">🔴  Move to OS keychain</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XSS via transaction descriptions</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React JSX escapes all string output. sanitizeText() strips HTML tags. No dangerouslySetInnerHTML usage found.</w:t>
            </w:r>
          </w:p>
        </w:tc>
        <w:tc>
          <w:tcPr>
            <w:tcW w:type="dxa" w:w="1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Low</w:t>
            </w:r>
          </w:p>
        </w:tc>
        <w:tc>
          <w:tcPr>
            <w:tcW w:type="dxa" w:w="14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F855A"/>
                <w:sz w:val="20"/>
                <w:szCs w:val="20"/>
              </w:rPr>
              <w:t xml:space="preserve">✅  Mitigated</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Malicious CSV / JSON import</w:t>
            </w:r>
          </w:p>
        </w:tc>
        <w:tc>
          <w:tcPr>
            <w:tcW w:type="dxa" w:w="3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CSV parser is a custom hand-written state machine. JSON imports are validated (checks for transactions + accounts arrays). No eval() usage.</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Low</w:t>
            </w:r>
          </w:p>
        </w:tc>
        <w:tc>
          <w:tcPr>
            <w:tcW w:type="dxa" w:w="14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F855A"/>
                <w:sz w:val="20"/>
                <w:szCs w:val="20"/>
              </w:rPr>
              <w:t xml:space="preserve">✅  Adequate</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Outbound HTTPS interception</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All external calls (Finnhub, CoinGecko, updater) use HTTPS. Tauri WebView2 enforces TLS. Finnhub key transmitted in URL — acceptable for free tier but not ideal.</w:t>
            </w:r>
          </w:p>
        </w:tc>
        <w:tc>
          <w:tcPr>
            <w:tcW w:type="dxa" w:w="1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Low</w:t>
            </w:r>
          </w:p>
        </w:tc>
        <w:tc>
          <w:tcPr>
            <w:tcW w:type="dxa" w:w="14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Move key to header (Phase 1)</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Supply chain (npm deps)</w:t>
            </w:r>
          </w:p>
        </w:tc>
        <w:tc>
          <w:tcPr>
            <w:tcW w:type="dxa" w:w="3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Only 4 runtime npm deps: react, react-dom, chart.js, xlsx. Each is widely audited. xlsx 0.18.5 is older — should pin to latest audit-clean version.</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Low</w:t>
            </w:r>
          </w:p>
        </w:tc>
        <w:tc>
          <w:tcPr>
            <w:tcW w:type="dxa" w:w="14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Run npm audit quarterly</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Auto-update hijacking</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Tauri updater requires a signed manifest. Without a correctly configured private key, updates are rejected. Key management must be handled carefully in CI.</w:t>
            </w:r>
          </w:p>
        </w:tc>
        <w:tc>
          <w:tcPr>
            <w:tcW w:type="dxa" w:w="1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Low (if signing is configured)</w:t>
            </w:r>
          </w:p>
        </w:tc>
        <w:tc>
          <w:tcPr>
            <w:tcW w:type="dxa" w:w="14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Document signing key storage</w:t>
            </w:r>
          </w:p>
        </w:tc>
      </w:tr>
    </w:tbl>
    <w:p>
      <w:pPr>
        <w:spacing w:after="160" w:before="0"/>
      </w:pPr>
      <w:r>
        <w:t xml:space="preserve"/>
      </w:r>
    </w:p>
    <w:p>
      <w:pPr>
        <w:pStyle w:val="Heading2"/>
        <w:spacing w:after="80" w:before="240"/>
      </w:pPr>
      <w:r>
        <w:rPr>
          <w:rFonts w:ascii="Arial" w:cs="Arial" w:eastAsia="Arial" w:hAnsi="Arial"/>
          <w:b/>
          <w:bCs/>
          <w:color w:val="2D3748"/>
          <w:sz w:val="26"/>
          <w:szCs w:val="26"/>
        </w:rPr>
        <w:t xml:space="preserve">4.3  Overall Stability Rating</w:t>
      </w:r>
    </w:p>
    <w:p>
      <w:pPr>
        <w:spacing w:after="120" w:before="0"/>
      </w:pPr>
      <w:r>
        <w:rPr>
          <w:rFonts w:ascii="Arial" w:cs="Arial" w:eastAsia="Arial" w:hAnsi="Arial"/>
          <w:color w:val="2D3748"/>
          <w:sz w:val="22"/>
          <w:szCs w:val="22"/>
        </w:rPr>
        <w:t xml:space="preserve">For a private personal use tool: ✅ Stable — the application is well-architected and safe for daily use.</w:t>
      </w:r>
    </w:p>
    <w:p>
      <w:pPr>
        <w:spacing w:after="120" w:before="0"/>
      </w:pPr>
      <w:r>
        <w:rPr>
          <w:rFonts w:ascii="Arial" w:cs="Arial" w:eastAsia="Arial" w:hAnsi="Arial"/>
          <w:color w:val="2D3748"/>
          <w:sz w:val="22"/>
          <w:szCs w:val="22"/>
        </w:rPr>
        <w:t xml:space="preserve">For a public product with paying users: ⚠ Needs hardening — error boundaries, API key encryption, and a test suite are required before recommending it to a non-technical audience who cannot recover from a white screen.</w:t>
      </w:r>
    </w:p>
    <w:p>
      <w:r>
        <w:br w:type="page"/>
      </w:r>
    </w:p>
    <w:p>
      <w:pPr>
        <w:spacing w:after="240" w:before="0"/>
      </w:pPr>
      <w:r>
        <w:t xml:space="preserve"/>
      </w:r>
    </w:p>
    <w:p>
      <w:pPr>
        <w:pStyle w:val="Heading1"/>
        <w:spacing w:after="80" w:before="360"/>
      </w:pPr>
      <w:r>
        <w:rPr>
          <w:rFonts w:ascii="Arial" w:cs="Arial" w:eastAsia="Arial" w:hAnsi="Arial"/>
          <w:b/>
          <w:bCs/>
          <w:color w:val="1A6B55"/>
          <w:sz w:val="32"/>
          <w:szCs w:val="32"/>
        </w:rPr>
        <w:t xml:space="preserve">5. Big Picture — Pocket Watch in Daily Life</w:t>
      </w:r>
    </w:p>
    <w:p>
      <w:pPr>
        <w:pBdr>
          <w:bottom w:val="single" w:color="1A6B55" w:sz="6" w:space="1"/>
        </w:pBdr>
        <w:spacing w:after="120" w:before="0"/>
      </w:pPr>
    </w:p>
    <w:p>
      <w:pPr>
        <w:pStyle w:val="Heading2"/>
        <w:spacing w:after="80" w:before="240"/>
      </w:pPr>
      <w:r>
        <w:rPr>
          <w:rFonts w:ascii="Arial" w:cs="Arial" w:eastAsia="Arial" w:hAnsi="Arial"/>
          <w:b/>
          <w:bCs/>
          <w:color w:val="2D3748"/>
          <w:sz w:val="26"/>
          <w:szCs w:val="26"/>
        </w:rPr>
        <w:t xml:space="preserve">5.1  The Privacy Finance Gap</w:t>
      </w:r>
    </w:p>
    <w:p>
      <w:pPr>
        <w:spacing w:after="120" w:before="0"/>
      </w:pPr>
      <w:r>
        <w:rPr>
          <w:rFonts w:ascii="Arial" w:cs="Arial" w:eastAsia="Arial" w:hAnsi="Arial"/>
          <w:color w:val="2D3748"/>
          <w:sz w:val="22"/>
          <w:szCs w:val="22"/>
        </w:rPr>
        <w:t xml:space="preserve">The consumer finance software market has followed the same trajectory as every other SaaS category: move to the cloud, capture user data, monetize through advertising or financial product upsells. Mint made this bargain explicit — your data for free software — and 3.6 million users accepted it. When Mint shut down, those users discovered that the data had never been truly theirs.</w:t>
      </w:r>
    </w:p>
    <w:p>
      <w:pPr>
        <w:spacing w:after="120" w:before="0"/>
      </w:pPr>
      <w:r>
        <w:rPr>
          <w:rFonts w:ascii="Arial" w:cs="Arial" w:eastAsia="Arial" w:hAnsi="Arial"/>
          <w:color w:val="2D3748"/>
          <w:sz w:val="22"/>
          <w:szCs w:val="22"/>
        </w:rPr>
        <w:t xml:space="preserve">Pocket Watch represents a different bargain: no company ever touches your financial data. The file is yours. The software is on your machine. If the developer disappears tomorrow, the app still works and the data is still yours. This is not a feature — it is a philosophical position that creates a different kind of trust, and it resonates deeply with the segment of users who have been burned by platform dependencies.</w:t>
      </w:r>
    </w:p>
    <w:p>
      <w:pPr>
        <w:spacing w:after="120" w:before="0"/>
      </w:pPr>
      <w:r>
        <w:t xml:space="preserve"/>
      </w:r>
    </w:p>
    <w:p>
      <w:pPr>
        <w:pStyle w:val="Heading2"/>
        <w:spacing w:after="80" w:before="240"/>
      </w:pPr>
      <w:r>
        <w:rPr>
          <w:rFonts w:ascii="Arial" w:cs="Arial" w:eastAsia="Arial" w:hAnsi="Arial"/>
          <w:b/>
          <w:bCs/>
          <w:color w:val="2D3748"/>
          <w:sz w:val="26"/>
          <w:szCs w:val="26"/>
        </w:rPr>
        <w:t xml:space="preserve">5.2  How Users Will Live with Pocket Watch</w:t>
      </w:r>
    </w:p>
    <w:p>
      <w:pPr>
        <w:pStyle w:val="Heading3"/>
        <w:spacing w:after="60" w:before="200"/>
      </w:pPr>
      <w:r>
        <w:rPr>
          <w:rFonts w:ascii="Arial" w:cs="Arial" w:eastAsia="Arial" w:hAnsi="Arial"/>
          <w:b/>
          <w:bCs/>
          <w:color w:val="1A6B55"/>
          <w:sz w:val="23"/>
          <w:szCs w:val="23"/>
        </w:rPr>
        <w:t xml:space="preserve">The Weekly 10-Minute Review</w:t>
      </w:r>
    </w:p>
    <w:p>
      <w:pPr>
        <w:spacing w:after="120" w:before="0"/>
      </w:pPr>
      <w:r>
        <w:rPr>
          <w:rFonts w:ascii="Arial" w:cs="Arial" w:eastAsia="Arial" w:hAnsi="Arial"/>
          <w:color w:val="2D3748"/>
          <w:sz w:val="22"/>
          <w:szCs w:val="22"/>
        </w:rPr>
        <w:t xml:space="preserve">The highest-value habit Pocket Watch enables is a weekly transaction review — Sunday evening, 10 minutes, categorize the week's transactions, check budget status, note anything unusual. This habit is the foundation of financial awareness. The quick-add bar, keyboard shortcuts (N for new transaction, Ctrl+K for search), and the 50-item paginated view are all designed around this use case. The auto-categorization memory hook means that after the first month, most transactions categorize themselves.</w:t>
      </w:r>
    </w:p>
    <w:p>
      <w:pPr>
        <w:pStyle w:val="Heading3"/>
        <w:spacing w:after="60" w:before="200"/>
      </w:pPr>
      <w:r>
        <w:rPr>
          <w:rFonts w:ascii="Arial" w:cs="Arial" w:eastAsia="Arial" w:hAnsi="Arial"/>
          <w:b/>
          <w:bCs/>
          <w:color w:val="1A6B55"/>
          <w:sz w:val="23"/>
          <w:szCs w:val="23"/>
        </w:rPr>
        <w:t xml:space="preserve">The Monthly Close</w:t>
      </w:r>
    </w:p>
    <w:p>
      <w:pPr>
        <w:spacing w:after="120" w:before="0"/>
      </w:pPr>
      <w:r>
        <w:rPr>
          <w:rFonts w:ascii="Arial" w:cs="Arial" w:eastAsia="Arial" w:hAnsi="Arial"/>
          <w:color w:val="2D3748"/>
          <w:sz w:val="22"/>
          <w:szCs w:val="22"/>
        </w:rPr>
        <w:t xml:space="preserve">The Month Close wizard (accessible from the sidebar) is Pocket Watch's version of a financial close ritual: review uncleared transactions, reconcile accounts, check budget vs. actual, note the net worth snapshot. This 20-minute monthly practice — modeled on how accountants close books — gives users a genuine understanding of their financial trajectory rather than just a passive dashboard.</w:t>
      </w:r>
    </w:p>
    <w:p>
      <w:pPr>
        <w:pStyle w:val="Heading3"/>
        <w:spacing w:after="60" w:before="200"/>
      </w:pPr>
      <w:r>
        <w:rPr>
          <w:rFonts w:ascii="Arial" w:cs="Arial" w:eastAsia="Arial" w:hAnsi="Arial"/>
          <w:b/>
          <w:bCs/>
          <w:color w:val="1A6B55"/>
          <w:sz w:val="23"/>
          <w:szCs w:val="23"/>
        </w:rPr>
        <w:t xml:space="preserve">The Annual Tax Moment</w:t>
      </w:r>
    </w:p>
    <w:p>
      <w:pPr>
        <w:spacing w:after="120" w:before="0"/>
      </w:pPr>
      <w:r>
        <w:rPr>
          <w:rFonts w:ascii="Arial" w:cs="Arial" w:eastAsia="Arial" w:hAnsi="Arial"/>
          <w:color w:val="2D3748"/>
          <w:sz w:val="22"/>
          <w:szCs w:val="22"/>
        </w:rPr>
        <w:t xml:space="preserve">The Reports tab's Tax Summary section becomes the most-opened screen in February and March. Every transaction flagged as tax-deductible during the year appears here, grouped by category, with a grand total ready to hand to a CPA or enter into TurboTax. For freelancers and self-employed users, this feature alone justifies the entire product.</w:t>
      </w:r>
    </w:p>
    <w:p>
      <w:pPr>
        <w:pStyle w:val="Heading3"/>
        <w:spacing w:after="60" w:before="200"/>
      </w:pPr>
      <w:r>
        <w:rPr>
          <w:rFonts w:ascii="Arial" w:cs="Arial" w:eastAsia="Arial" w:hAnsi="Arial"/>
          <w:b/>
          <w:bCs/>
          <w:color w:val="1A6B55"/>
          <w:sz w:val="23"/>
          <w:szCs w:val="23"/>
        </w:rPr>
        <w:t xml:space="preserve">The FIRE Checkpoint</w:t>
      </w:r>
    </w:p>
    <w:p>
      <w:pPr>
        <w:spacing w:after="120" w:before="0"/>
      </w:pPr>
      <w:r>
        <w:rPr>
          <w:rFonts w:ascii="Arial" w:cs="Arial" w:eastAsia="Arial" w:hAnsi="Arial"/>
          <w:color w:val="2D3748"/>
          <w:sz w:val="22"/>
          <w:szCs w:val="22"/>
        </w:rPr>
        <w:t xml:space="preserve">The FIRE panel on the Dashboard gives users their financial independence number — 25x annual expenses — and shows exactly how far away they are as a percentage and in years. For the power user demographic (typically 28–45 years old, tech adjacent, high income), this is the metric that drives major life decisions: career changes, investment allocation, real estate timing. Having it updated automatically each month based on actual spending makes it a living plan rather than a static spreadsheet.</w:t>
      </w:r>
    </w:p>
    <w:p>
      <w:pPr>
        <w:spacing w:after="120" w:before="0"/>
      </w:pPr>
      <w:r>
        <w:t xml:space="preserve"/>
      </w:r>
    </w:p>
    <w:p>
      <w:pPr>
        <w:pStyle w:val="Heading2"/>
        <w:spacing w:after="80" w:before="240"/>
      </w:pPr>
      <w:r>
        <w:rPr>
          <w:rFonts w:ascii="Arial" w:cs="Arial" w:eastAsia="Arial" w:hAnsi="Arial"/>
          <w:b/>
          <w:bCs/>
          <w:color w:val="2D3748"/>
          <w:sz w:val="26"/>
          <w:szCs w:val="26"/>
        </w:rPr>
        <w:t xml:space="preserve">5.3  The Emotional Design of Financial Software</w:t>
      </w:r>
    </w:p>
    <w:p>
      <w:pPr>
        <w:spacing w:after="120" w:before="0"/>
      </w:pPr>
      <w:r>
        <w:rPr>
          <w:rFonts w:ascii="Arial" w:cs="Arial" w:eastAsia="Arial" w:hAnsi="Arial"/>
          <w:color w:val="2D3748"/>
          <w:sz w:val="22"/>
          <w:szCs w:val="22"/>
        </w:rPr>
        <w:t xml:space="preserve">Personal finance software has traditionally been either anxiety-inducing (bright red over-budget bars, urgent alerts, shame-based messaging) or disconnectingly abstract (investment performance graphs divorced from daily spending habits). Pocket Watch threads a third path: calm, data-dense, non-judgmental. The dark interface is deliberate — it signals "this is a professional tool, not a consumer app trying to sell you something." The muted green accent color communicates "progress" without the aggression of traditional financial red/green.</w:t>
      </w:r>
    </w:p>
    <w:p>
      <w:pPr>
        <w:spacing w:after="120" w:before="0"/>
      </w:pPr>
      <w:r>
        <w:rPr>
          <w:rFonts w:ascii="Arial" w:cs="Arial" w:eastAsia="Arial" w:hAnsi="Arial"/>
          <w:color w:val="2D3748"/>
          <w:sz w:val="22"/>
          <w:szCs w:val="22"/>
        </w:rPr>
        <w:t xml:space="preserve">The most important emotional design decision in Pocket Watch is the absence of ads, upsells, and nudges. Every screen is about the user's data, not about converting them to a premium tier or showing them a sponsored financial product. This creates a qualitatively different experience than any VC-funded competitor can offer, because Pocket Watch's business model does not depend on user engagement maximization.</w:t>
      </w:r>
    </w:p>
    <w:p>
      <w:pPr>
        <w:spacing w:after="120" w:before="0"/>
      </w:pPr>
      <w:r>
        <w:t xml:space="preserve"/>
      </w:r>
    </w:p>
    <w:p>
      <w:pPr>
        <w:pStyle w:val="Heading2"/>
        <w:spacing w:after="80" w:before="240"/>
      </w:pPr>
      <w:r>
        <w:rPr>
          <w:rFonts w:ascii="Arial" w:cs="Arial" w:eastAsia="Arial" w:hAnsi="Arial"/>
          <w:b/>
          <w:bCs/>
          <w:color w:val="2D3748"/>
          <w:sz w:val="26"/>
          <w:szCs w:val="26"/>
        </w:rPr>
        <w:t xml:space="preserve">5.4  The 10-Year Vision</w:t>
      </w:r>
    </w:p>
    <w:p>
      <w:pPr>
        <w:spacing w:after="120" w:before="0"/>
      </w:pPr>
      <w:r>
        <w:rPr>
          <w:rFonts w:ascii="Arial" w:cs="Arial" w:eastAsia="Arial" w:hAnsi="Arial"/>
          <w:color w:val="2D3748"/>
          <w:sz w:val="22"/>
          <w:szCs w:val="22"/>
        </w:rPr>
        <w:t xml:space="preserve">If Pocket Watch executes well over the next three to five years, it can become the definitive financial record-keeping tool for the privacy-first demographic — the equivalent of what 1Password is to password management or Day One is to journaling. Both of those products started as simple local tools for power users, expanded to mobile with file sync, and eventually became the category default for users who value privacy.</w:t>
      </w:r>
    </w:p>
    <w:p>
      <w:pPr>
        <w:spacing w:after="120" w:before="0"/>
      </w:pPr>
      <w:r>
        <w:rPr>
          <w:rFonts w:ascii="Arial" w:cs="Arial" w:eastAsia="Arial" w:hAnsi="Arial"/>
          <w:color w:val="2D3748"/>
          <w:sz w:val="22"/>
          <w:szCs w:val="22"/>
        </w:rPr>
        <w:t xml:space="preserve">The long-term vision is a product where a user's financial history — every transaction, every account balance, every net worth snapshot — lives in a file they own, travels with them across devices, and is readable and writable without any proprietary service. That file becomes a lifelong financial record: not just a budget tool for this month, but a chronicle of a financial life across decades.</w:t>
      </w:r>
    </w:p>
    <w:p>
      <w:pPr>
        <w:spacing w:after="120" w:before="0"/>
      </w:pPr>
      <w:r>
        <w:rPr>
          <w:rFonts w:ascii="Arial" w:cs="Arial" w:eastAsia="Arial" w:hAnsi="Arial"/>
          <w:color w:val="2D3748"/>
          <w:sz w:val="22"/>
          <w:szCs w:val="22"/>
        </w:rPr>
        <w:t xml:space="preserve">When that file can be opened 20 years from now in whatever personal finance tool exists then — because it is plain JSON — Pocket Watch will have accomplished something no cloud-dependent competitor ever could.</w:t>
      </w:r>
    </w:p>
    <w:p>
      <w:pPr>
        <w:spacing w:after="120" w:before="0"/>
      </w:pPr>
      <w:r>
        <w:t xml:space="preserve"/>
      </w:r>
    </w:p>
    <w:p>
      <w:pPr>
        <w:pBdr>
          <w:top w:val="single" w:color="1A6B55" w:sz="4" w:space="4"/>
        </w:pBdr>
        <w:spacing w:after="120" w:before="240"/>
        <w:jc w:val="center"/>
      </w:pPr>
      <w:r>
        <w:rPr>
          <w:rFonts w:ascii="Arial" w:cs="Arial" w:eastAsia="Arial" w:hAnsi="Arial"/>
          <w:b/>
          <w:bCs/>
          <w:i/>
          <w:iCs/>
          <w:color w:val="1A6B55"/>
          <w:sz w:val="24"/>
          <w:szCs w:val="24"/>
        </w:rPr>
        <w:t xml:space="preserve">Your money. Your file. Your terms.</w:t>
      </w:r>
    </w:p>
    <w:p>
      <w:r>
        <w:br w:type="page"/>
      </w:r>
    </w:p>
    <w:p>
      <w:pPr>
        <w:spacing w:after="240" w:before="0"/>
      </w:pPr>
      <w:r>
        <w:t xml:space="preserve"/>
      </w:r>
    </w:p>
    <w:p>
      <w:pPr>
        <w:pStyle w:val="Heading1"/>
        <w:spacing w:after="80" w:before="360"/>
      </w:pPr>
      <w:r>
        <w:rPr>
          <w:rFonts w:ascii="Arial" w:cs="Arial" w:eastAsia="Arial" w:hAnsi="Arial"/>
          <w:b/>
          <w:bCs/>
          <w:color w:val="1A6B55"/>
          <w:sz w:val="32"/>
          <w:szCs w:val="32"/>
        </w:rPr>
        <w:t xml:space="preserve">Appendix — Sprint Summary</w:t>
      </w:r>
    </w:p>
    <w:p>
      <w:pPr>
        <w:pBdr>
          <w:bottom w:val="single" w:color="1A6B55" w:sz="6" w:space="1"/>
        </w:pBdr>
        <w:spacing w:after="120" w:before="0"/>
      </w:pPr>
    </w:p>
    <w:p>
      <w:pPr>
        <w:spacing w:after="120" w:before="0"/>
      </w:pPr>
      <w:r>
        <w:rPr>
          <w:rFonts w:ascii="Arial" w:cs="Arial" w:eastAsia="Arial" w:hAnsi="Arial"/>
          <w:color w:val="2D3748"/>
          <w:sz w:val="22"/>
          <w:szCs w:val="22"/>
        </w:rPr>
        <w:t xml:space="preserve">The following sprints have been completed as of this analysis. All features described in Section 1.2 are fully implemented and committed to git.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432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3600"/>
            <w:tcBorders>
              <w:top w:val="single" w:color="CBD5E0" w:sz="1"/>
              <w:left w:val="single" w:color="CBD5E0" w:sz="1"/>
              <w:bottom w:val="single" w:color="CBD5E0" w:sz="1"/>
              <w:right w:val="single" w:color="CBD5E0" w:sz="1"/>
            </w:tcBorders>
            <w:shd w:fill="1A6B55"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14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1–6</w:t>
            </w:r>
          </w:p>
        </w:tc>
        <w:tc>
          <w:tcPr>
            <w:tcW w:type="dxa" w:w="43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Core foundation: transactions, accounts, budgets, goals, recurring, reports</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Full CRUD, CSV import, charts, undo/redo</w:t>
            </w:r>
          </w:p>
        </w:tc>
      </w:tr>
      <w:tr>
        <w:tc>
          <w:tcPr>
            <w:tcW w:type="dxa" w:w="14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7–12</w:t>
            </w:r>
          </w:p>
        </w:tc>
        <w:tc>
          <w:tcPr>
            <w:tcW w:type="dxa" w:w="43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Advanced features: reconciliation, category memory, month close, statement import, equity</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Auto-categorization, bank presets, YNAB/Mint CSV, RSU grants</w:t>
            </w:r>
          </w:p>
        </w:tc>
      </w:tr>
      <w:tr>
        <w:tc>
          <w:tcPr>
            <w:tcW w:type="dxa" w:w="14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A–F</w:t>
            </w:r>
          </w:p>
        </w:tc>
        <w:tc>
          <w:tcPr>
            <w:tcW w:type="dxa" w:w="43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UX &amp; analytics: QuickAdd NLP, historical reports, toast system, empty states, budget analytics</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Natural language quick-add, YoY charts, forecast, debt payoff calculator</w:t>
            </w:r>
          </w:p>
        </w:tc>
      </w:tr>
      <w:tr>
        <w:tc>
          <w:tcPr>
            <w:tcW w:type="dxa" w:w="14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84–90</w:t>
            </w:r>
          </w:p>
        </w:tc>
        <w:tc>
          <w:tcPr>
            <w:tcW w:type="dxa" w:w="43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Power features: performance hardening, tax tagging, FIRE dashboard, XLSX export, budget suggestions</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50-item pagination, tax summary, FIRE panel, Excel export, rolling average suggestions</w:t>
            </w:r>
          </w:p>
        </w:tc>
      </w:tr>
      <w:tr>
        <w:tc>
          <w:tcPr>
            <w:tcW w:type="dxa" w:w="14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13</w:t>
            </w:r>
          </w:p>
        </w:tc>
        <w:tc>
          <w:tcPr>
            <w:tcW w:type="dxa" w:w="43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Live market data (Investments)</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useMarketData hook, Finnhub + CoinGecko, portfolio doughnut chart</w:t>
            </w:r>
          </w:p>
        </w:tc>
      </w:tr>
      <w:tr>
        <w:tc>
          <w:tcPr>
            <w:tcW w:type="dxa" w:w="14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14</w:t>
            </w:r>
          </w:p>
        </w:tc>
        <w:tc>
          <w:tcPr>
            <w:tcW w:type="dxa" w:w="43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Cashflow Calendar &amp; projection</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Recurring overlays, 90-day balance projection chart</w:t>
            </w:r>
          </w:p>
        </w:tc>
      </w:tr>
      <w:tr>
        <w:tc>
          <w:tcPr>
            <w:tcW w:type="dxa" w:w="14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15</w:t>
            </w:r>
          </w:p>
        </w:tc>
        <w:tc>
          <w:tcPr>
            <w:tcW w:type="dxa" w:w="43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Data scale &amp; archiving</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Transaction archive with date-cutoff selector, restore flow</w:t>
            </w:r>
          </w:p>
        </w:tc>
      </w:tr>
      <w:tr>
        <w:tc>
          <w:tcPr>
            <w:tcW w:type="dxa" w:w="144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17</w:t>
            </w:r>
          </w:p>
        </w:tc>
        <w:tc>
          <w:tcPr>
            <w:tcW w:type="dxa" w:w="43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Historical net worth import</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vAlign w:val="center"/>
          </w:tcPr>
          <w:p>
            <w:r>
              <w:rPr>
                <w:rFonts w:ascii="Arial" w:cs="Arial" w:eastAsia="Arial" w:hAnsi="Arial"/>
                <w:b w:val="false"/>
                <w:bCs w:val="false"/>
                <w:color w:val="2D3748"/>
                <w:sz w:val="20"/>
                <w:szCs w:val="20"/>
              </w:rPr>
              <w:t xml:space="preserve">Settings CSV importer (date, net_worth or assets/debts columns)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4"/>
      </w:pBdr>
      <w:spacing w:after="0" w:before="80"/>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55" w:sz="4" w:space="4"/>
      </w:pBdr>
      <w:tabs>
        <w:tab w:val="right" w:pos="9026"/>
      </w:tabs>
      <w:spacing w:after="120" w:before="0"/>
    </w:pPr>
    <w:r>
      <w:rPr>
        <w:rFonts w:ascii="Arial" w:cs="Arial" w:eastAsia="Arial" w:hAnsi="Arial"/>
        <w:color w:val="718096"/>
        <w:sz w:val="18"/>
        <w:szCs w:val="18"/>
      </w:rPr>
      <w:t xml:space="preserve">POCKET WATCH  —  Strategic Analysis &amp; Roadmap</w:t>
    </w:r>
    <w:r>
      <w:rPr>
        <w:rFonts w:ascii="Arial" w:cs="Arial" w:eastAsia="Arial" w:hAnsi="Arial"/>
        <w:color w:val="718096"/>
        <w:sz w:val="18"/>
        <w:szCs w:val="18"/>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1A6B55"/>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D374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6B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2026-05-26T22:06:27.839Z</dcterms:created>
  <dcterms:modified xsi:type="dcterms:W3CDTF">2026-05-26T22:06:27.839Z</dcterms:modified>
</cp:coreProperties>
</file>

<file path=docProps/custom.xml><?xml version="1.0" encoding="utf-8"?>
<Properties xmlns="http://schemas.openxmlformats.org/officeDocument/2006/custom-properties" xmlns:vt="http://schemas.openxmlformats.org/officeDocument/2006/docPropsVTypes"/>
</file>