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1E3A5F"/>
          <w:sz w:val="64"/>
          <w:szCs w:val="64"/>
        </w:rPr>
        <w:t xml:space="preserve">Pocket Watch</w:t>
      </w:r>
    </w:p>
    <w:p>
      <w:pPr>
        <w:spacing w:after="60" w:before="0"/>
      </w:pPr>
      <w:r>
        <w:rPr>
          <w:rFonts w:ascii="Calibri" w:cs="Calibri" w:eastAsia="Calibri" w:hAnsi="Calibri"/>
          <w:color w:val="334155"/>
          <w:sz w:val="32"/>
          <w:szCs w:val="32"/>
        </w:rPr>
        <w:t xml:space="preserve">Bank Sync — Strategic Analysis &amp; Options</w:t>
      </w:r>
    </w:p>
    <w:p>
      <w:pPr>
        <w:pBdr>
          <w:bottom w:val="single" w:color="1E3A5F" w:sz="12"/>
        </w:pBdr>
        <w:spacing w:after="40" w:before="0"/>
      </w:pPr>
      <w:r>
        <w:rPr>
          <w:rFonts w:ascii="Calibri" w:cs="Calibri" w:eastAsia="Calibri" w:hAnsi="Calibri"/>
          <w:i/>
          <w:iCs/>
          <w:color w:val="64748B"/>
          <w:sz w:val="20"/>
          <w:szCs w:val="20"/>
        </w:rPr>
        <w:t xml:space="preserve">Project Manager Review · May 2026</w:t>
      </w:r>
    </w:p>
    <w:p>
      <w:pPr>
        <w:spacing w:after="160" w:before="0"/>
      </w:pPr>
    </w:p>
    <w:p>
      <w:pPr>
        <w:pStyle w:val="Heading1"/>
        <w:spacing w:after="160" w:before="320"/>
      </w:pPr>
      <w:r>
        <w:rPr>
          <w:rFonts w:ascii="Calibri" w:cs="Calibri" w:eastAsia="Calibri" w:hAnsi="Calibri"/>
          <w:b/>
          <w:bCs/>
          <w:color w:val="1E3A5F"/>
          <w:sz w:val="36"/>
          <w:szCs w:val="36"/>
        </w:rPr>
        <w:t xml:space="preserve">Executive Summary</w:t>
      </w:r>
    </w:p>
    <w:p>
      <w:pPr>
        <w:spacing w:after="120" w:before="60"/>
      </w:pPr>
      <w:r>
        <w:rPr>
          <w:rFonts w:ascii="Calibri" w:cs="Calibri" w:eastAsia="Calibri" w:hAnsi="Calibri"/>
          <w:color w:val="1E293B"/>
          <w:sz w:val="22"/>
          <w:szCs w:val="22"/>
        </w:rPr>
        <w:t xml:space="preserve">Bank sync is the single most-requested feature for Pocket Watch and the primary reason users cite when choosing competing products like YNAB, Mint, or Copilot. This document evaluates all viable implementation approaches, surfaces the core privacy tension that makes this decision non-trivial for a local-first product, and recommends a phased path that preserves the app's privacy-first identity while dramatically reducing the manual-entry burden.</w:t>
      </w:r>
    </w:p>
    <w:p>
      <w:pPr>
        <w:pBdr>
          <w:left w:val="single" w:color="1E3A5F" w:sz="24"/>
        </w:pBdr>
        <w:spacing w:after="120" w:before="120"/>
        <w:ind w:left="360"/>
      </w:pPr>
      <w:r>
        <w:rPr>
          <w:rFonts w:ascii="Calibri" w:cs="Calibri" w:eastAsia="Calibri" w:hAnsi="Calibri"/>
          <w:i/>
          <w:iCs/>
          <w:color w:val="334155"/>
          <w:sz w:val="21"/>
          <w:szCs w:val="21"/>
        </w:rPr>
        <w:t xml:space="preserve">Recommendation: Begin with a privacy-safe browser extension model (Phase 1) that keeps no credentials on any server, then evaluate Plaid as an opt-in Phase 2 only if Phase 1 adoption validates user demand.</w:t>
      </w:r>
    </w:p>
    <w:p>
      <w:pPr>
        <w:spacing w:after="80" w:before="0"/>
      </w:pPr>
    </w:p>
    <w:p>
      <w:pPr>
        <w:pStyle w:val="Heading1"/>
        <w:spacing w:after="160" w:before="320"/>
      </w:pPr>
      <w:r>
        <w:rPr>
          <w:rFonts w:ascii="Calibri" w:cs="Calibri" w:eastAsia="Calibri" w:hAnsi="Calibri"/>
          <w:b/>
          <w:bCs/>
          <w:color w:val="1E3A5F"/>
          <w:sz w:val="36"/>
          <w:szCs w:val="36"/>
        </w:rPr>
        <w:t xml:space="preserve">1. The Problem</w:t>
      </w:r>
    </w:p>
    <w:p>
      <w:pPr>
        <w:spacing w:after="120" w:before="60"/>
      </w:pPr>
      <w:r>
        <w:rPr>
          <w:rFonts w:ascii="Calibri" w:cs="Calibri" w:eastAsia="Calibri" w:hAnsi="Calibri"/>
          <w:color w:val="1E293B"/>
          <w:sz w:val="22"/>
          <w:szCs w:val="22"/>
        </w:rPr>
        <w:t xml:space="preserve">Pocket Watch is deliberately local-first: no cloud account, no data leaving the device, no subscription. That is the value proposition. Bank sync, in its conventional form, requires a third-party aggregator (Plaid, MX, Finicity) to maintain persistent access to a user's bank credentials or OAuth tokens. This creates a direct tension:</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BD5E1" w:sz="1"/>
              <w:left w:val="single" w:color="CBD5E1" w:sz="1"/>
              <w:bottom w:val="single" w:color="CBD5E1" w:sz="1"/>
              <w:right w:val="single" w:color="CBD5E1" w:sz="1"/>
            </w:tcBorders>
            <w:shd w:fill="FEF2F2" w:val="clear"/>
            <w:tcMar>
              <w:top w:type="dxa" w:w="100"/>
              <w:left w:type="dxa" w:w="140"/>
              <w:bottom w:type="dxa" w:w="100"/>
              <w:right w:type="dxa" w:w="140"/>
            </w:tcMar>
          </w:tcPr>
          <w:p>
            <w:r>
              <w:rPr>
                <w:rFonts w:ascii="Calibri" w:cs="Calibri" w:eastAsia="Calibri" w:hAnsi="Calibri"/>
                <w:b/>
                <w:bCs/>
                <w:color w:val="991B1B"/>
                <w:sz w:val="22"/>
                <w:szCs w:val="22"/>
              </w:rPr>
              <w:t xml:space="preserve">What users want</w:t>
            </w:r>
          </w:p>
        </w:tc>
        <w:tc>
          <w:tcPr>
            <w:tcBorders>
              <w:top w:val="single" w:color="CBD5E1" w:sz="1"/>
              <w:left w:val="single" w:color="CBD5E1" w:sz="1"/>
              <w:bottom w:val="single" w:color="CBD5E1" w:sz="1"/>
              <w:right w:val="single" w:color="CBD5E1" w:sz="1"/>
            </w:tcBorders>
            <w:shd w:fill="F0FDF4" w:val="clear"/>
            <w:tcMar>
              <w:top w:type="dxa" w:w="100"/>
              <w:left w:type="dxa" w:w="140"/>
              <w:bottom w:type="dxa" w:w="100"/>
              <w:right w:type="dxa" w:w="140"/>
            </w:tcMar>
          </w:tcPr>
          <w:p>
            <w:r>
              <w:rPr>
                <w:rFonts w:ascii="Calibri" w:cs="Calibri" w:eastAsia="Calibri" w:hAnsi="Calibri"/>
                <w:b/>
                <w:bCs/>
                <w:color w:val="166534"/>
                <w:sz w:val="22"/>
                <w:szCs w:val="22"/>
              </w:rPr>
              <w:t xml:space="preserve">What the app stands for</w:t>
            </w:r>
          </w:p>
        </w:tc>
      </w:tr>
      <w:tr>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color w:val="1E293B"/>
                <w:sz w:val="21"/>
                <w:szCs w:val="21"/>
              </w:rPr>
              <w:t xml:space="preserve">Automatic transaction import from all linked accounts, updated daily, with zero manual effort.</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color w:val="1E293B"/>
                <w:sz w:val="21"/>
                <w:szCs w:val="21"/>
              </w:rPr>
              <w:t xml:space="preserve">Financial data stays on your machine. No third party sees your transactions, balances, or bank credentials. Ever.</w:t>
            </w:r>
          </w:p>
        </w:tc>
      </w:tr>
    </w:tbl>
    <w:p>
      <w:pPr>
        <w:spacing w:after="80" w:before="0"/>
      </w:pPr>
    </w:p>
    <w:p>
      <w:pPr>
        <w:spacing w:after="120" w:before="60"/>
      </w:pPr>
      <w:r>
        <w:rPr>
          <w:rFonts w:ascii="Calibri" w:cs="Calibri" w:eastAsia="Calibri" w:hAnsi="Calibri"/>
          <w:color w:val="1E293B"/>
          <w:sz w:val="22"/>
          <w:szCs w:val="22"/>
        </w:rPr>
        <w:t xml:space="preserve">Every bank sync approach sits somewhere on the spectrum between these two poles. The question is not whether to add sync, but which architecture preserves the most privacy while delivering the most user value.</w:t>
      </w:r>
    </w:p>
    <w:p>
      <w:pPr>
        <w:spacing w:after="80" w:before="0"/>
      </w:pPr>
    </w:p>
    <w:p>
      <w:pPr>
        <w:pStyle w:val="Heading1"/>
        <w:spacing w:after="160" w:before="320"/>
      </w:pPr>
      <w:r>
        <w:rPr>
          <w:rFonts w:ascii="Calibri" w:cs="Calibri" w:eastAsia="Calibri" w:hAnsi="Calibri"/>
          <w:b/>
          <w:bCs/>
          <w:color w:val="1E3A5F"/>
          <w:sz w:val="36"/>
          <w:szCs w:val="36"/>
        </w:rPr>
        <w:t xml:space="preserve">2. Implementation Options</w:t>
      </w:r>
    </w:p>
    <w:p>
      <w:pPr>
        <w:spacing w:after="120" w:before="60"/>
      </w:pPr>
      <w:r>
        <w:rPr>
          <w:rFonts w:ascii="Calibri" w:cs="Calibri" w:eastAsia="Calibri" w:hAnsi="Calibri"/>
          <w:color w:val="1E293B"/>
          <w:sz w:val="22"/>
          <w:szCs w:val="22"/>
        </w:rPr>
        <w:t xml:space="preserve">Five distinct approaches exist, ranging from fully cloud-dependent to entirely device-local. Each is analyzed below.</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60"/>
        <w:gridCol w:w="1700"/>
      </w:tblGrid>
      <w:tr>
        <w:trPr>
          <w:tblHeader/>
        </w:trPr>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Option</w:t>
            </w:r>
          </w:p>
        </w:tc>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Privacy</w:t>
            </w:r>
          </w:p>
        </w:tc>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Dev Effort</w:t>
            </w:r>
          </w:p>
        </w:tc>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Cost/User</w:t>
            </w:r>
          </w:p>
        </w:tc>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Risk Level</w:t>
            </w:r>
          </w:p>
        </w:tc>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Alignment</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Calibri" w:cs="Calibri" w:eastAsia="Calibri" w:hAnsi="Calibri"/>
                <w:b/>
                <w:bCs/>
                <w:color w:val="1E293B"/>
                <w:sz w:val="20"/>
                <w:szCs w:val="20"/>
              </w:rPr>
              <w:t xml:space="preserve">A. Plaid API</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1E293B"/>
                <w:sz w:val="20"/>
                <w:szCs w:val="20"/>
              </w:rPr>
              <w:t xml:space="preserve">⚠️ Low</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1E293B"/>
                <w:sz w:val="20"/>
                <w:szCs w:val="20"/>
              </w:rPr>
              <w:t xml:space="preserve">Medium</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1E293B"/>
                <w:sz w:val="20"/>
                <w:szCs w:val="20"/>
              </w:rPr>
              <w:t xml:space="preserve">$2–6/mo</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1E293B"/>
                <w:sz w:val="20"/>
                <w:szCs w:val="20"/>
              </w:rPr>
              <w:t xml:space="preserve">High</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1E293B"/>
                <w:sz w:val="20"/>
                <w:szCs w:val="20"/>
              </w:rPr>
              <w:t xml:space="preserve">❌ Poor</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Calibri" w:cs="Calibri" w:eastAsia="Calibri" w:hAnsi="Calibri"/>
                <w:b/>
                <w:bCs/>
                <w:color w:val="1E293B"/>
                <w:sz w:val="20"/>
                <w:szCs w:val="20"/>
              </w:rPr>
              <w:t xml:space="preserve">B. Screen scraping</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1E293B"/>
                <w:sz w:val="20"/>
                <w:szCs w:val="20"/>
              </w:rPr>
              <w:t xml:space="preserve">⚠️ Low</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1E293B"/>
                <w:sz w:val="20"/>
                <w:szCs w:val="20"/>
              </w:rPr>
              <w:t xml:space="preserve">Very High</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1E293B"/>
                <w:sz w:val="20"/>
                <w:szCs w:val="20"/>
              </w:rPr>
              <w:t xml:space="preserve">Low</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1E293B"/>
                <w:sz w:val="20"/>
                <w:szCs w:val="20"/>
              </w:rPr>
              <w:t xml:space="preserve">High</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1E293B"/>
                <w:sz w:val="20"/>
                <w:szCs w:val="20"/>
              </w:rPr>
              <w:t xml:space="preserve">❌ Poor</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Calibri" w:cs="Calibri" w:eastAsia="Calibri" w:hAnsi="Calibri"/>
                <w:b/>
                <w:bCs/>
                <w:color w:val="1E293B"/>
                <w:sz w:val="20"/>
                <w:szCs w:val="20"/>
              </w:rPr>
              <w:t xml:space="preserve">C. Browser extension</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1E293B"/>
                <w:sz w:val="20"/>
                <w:szCs w:val="20"/>
              </w:rPr>
              <w:t xml:space="preserve">✅ High</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1E293B"/>
                <w:sz w:val="20"/>
                <w:szCs w:val="20"/>
              </w:rPr>
              <w:t xml:space="preserve">High</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1E293B"/>
                <w:sz w:val="20"/>
                <w:szCs w:val="20"/>
              </w:rPr>
              <w:t xml:space="preserve">Free</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1E293B"/>
                <w:sz w:val="20"/>
                <w:szCs w:val="20"/>
              </w:rPr>
              <w:t xml:space="preserve">Medium</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1E293B"/>
                <w:sz w:val="20"/>
                <w:szCs w:val="20"/>
              </w:rPr>
              <w:t xml:space="preserve">✅ Strong</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Calibri" w:cs="Calibri" w:eastAsia="Calibri" w:hAnsi="Calibri"/>
                <w:b/>
                <w:bCs/>
                <w:color w:val="1E293B"/>
                <w:sz w:val="20"/>
                <w:szCs w:val="20"/>
              </w:rPr>
              <w:t xml:space="preserve">D. OFX/QFX import</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1E293B"/>
                <w:sz w:val="20"/>
                <w:szCs w:val="20"/>
              </w:rPr>
              <w:t xml:space="preserve">✅ Very High</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1E293B"/>
                <w:sz w:val="20"/>
                <w:szCs w:val="20"/>
              </w:rPr>
              <w:t xml:space="preserve">Low</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1E293B"/>
                <w:sz w:val="20"/>
                <w:szCs w:val="20"/>
              </w:rPr>
              <w:t xml:space="preserve">Free</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1E293B"/>
                <w:sz w:val="20"/>
                <w:szCs w:val="20"/>
              </w:rPr>
              <w:t xml:space="preserve">Low</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1E293B"/>
                <w:sz w:val="20"/>
                <w:szCs w:val="20"/>
              </w:rPr>
              <w:t xml:space="preserve">✅ Strong</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Calibri" w:cs="Calibri" w:eastAsia="Calibri" w:hAnsi="Calibri"/>
                <w:b/>
                <w:bCs/>
                <w:color w:val="1E293B"/>
                <w:sz w:val="20"/>
                <w:szCs w:val="20"/>
              </w:rPr>
              <w:t xml:space="preserve">E. CSV improvements</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1E293B"/>
                <w:sz w:val="20"/>
                <w:szCs w:val="20"/>
              </w:rPr>
              <w:t xml:space="preserve">✅ Very High</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1E293B"/>
                <w:sz w:val="20"/>
                <w:szCs w:val="20"/>
              </w:rPr>
              <w:t xml:space="preserve">Low</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1E293B"/>
                <w:sz w:val="20"/>
                <w:szCs w:val="20"/>
              </w:rPr>
              <w:t xml:space="preserve">Free</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1E293B"/>
                <w:sz w:val="20"/>
                <w:szCs w:val="20"/>
              </w:rPr>
              <w:t xml:space="preserve">Low</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1E293B"/>
                <w:sz w:val="20"/>
                <w:szCs w:val="20"/>
              </w:rPr>
              <w:t xml:space="preserve">✅ Strong</w:t>
            </w:r>
          </w:p>
        </w:tc>
      </w:tr>
    </w:tbl>
    <w:p>
      <w:pPr>
        <w:spacing w:after="80" w:before="0"/>
      </w:pPr>
    </w:p>
    <w:p>
      <w:pPr>
        <w:pStyle w:val="Heading2"/>
        <w:spacing w:after="100" w:before="240"/>
      </w:pPr>
      <w:r>
        <w:rPr>
          <w:rFonts w:ascii="Calibri" w:cs="Calibri" w:eastAsia="Calibri" w:hAnsi="Calibri"/>
          <w:b/>
          <w:bCs/>
          <w:color w:val="334155"/>
          <w:sz w:val="28"/>
          <w:szCs w:val="28"/>
        </w:rPr>
        <w:t xml:space="preserve">Option A — Plaid (Third-Party Aggregator)</w:t>
      </w:r>
    </w:p>
    <w:p>
      <w:pPr>
        <w:spacing w:after="120" w:before="60"/>
      </w:pPr>
      <w:r>
        <w:rPr>
          <w:rFonts w:ascii="Calibri" w:cs="Calibri" w:eastAsia="Calibri" w:hAnsi="Calibri"/>
          <w:color w:val="1E293B"/>
          <w:sz w:val="22"/>
          <w:szCs w:val="22"/>
        </w:rPr>
        <w:t xml:space="preserve">Plaid is the market-standard bank data aggregator used by YNAB, Mint, and thousands of fintech apps. It connects to 12,000+ institutions and provides clean, normalized transaction data via REST API.</w:t>
      </w:r>
    </w:p>
    <w:p>
      <w:pPr>
        <w:pStyle w:val="Heading3"/>
        <w:spacing w:after="80" w:before="180"/>
      </w:pPr>
      <w:r>
        <w:rPr>
          <w:rFonts w:ascii="Calibri" w:cs="Calibri" w:eastAsia="Calibri" w:hAnsi="Calibri"/>
          <w:b/>
          <w:bCs/>
          <w:color w:val="334155"/>
          <w:sz w:val="24"/>
          <w:szCs w:val="24"/>
        </w:rPr>
        <w:t xml:space="preserve">How it works</w:t>
      </w:r>
    </w:p>
    <w:p>
      <w:pPr>
        <w:spacing w:after="120" w:before="60"/>
      </w:pPr>
      <w:r>
        <w:rPr>
          <w:rFonts w:ascii="Calibri" w:cs="Calibri" w:eastAsia="Calibri" w:hAnsi="Calibri"/>
          <w:color w:val="1E293B"/>
          <w:sz w:val="22"/>
          <w:szCs w:val="22"/>
        </w:rPr>
        <w:t xml:space="preserve">The user initiates a Plaid Link flow within the app, authenticates with their bank credentials via an OAuth-style popup (hosted by Plaid, not Pocket Watch), and grants Plaid permission to read transaction history. The app then calls the Plaid API to retrieve transactions on a schedule.</w:t>
      </w:r>
    </w:p>
    <w:p>
      <w:pPr>
        <w:pStyle w:val="Heading3"/>
        <w:spacing w:after="80" w:before="180"/>
      </w:pPr>
      <w:r>
        <w:rPr>
          <w:rFonts w:ascii="Calibri" w:cs="Calibri" w:eastAsia="Calibri" w:hAnsi="Calibri"/>
          <w:b/>
          <w:bCs/>
          <w:color w:val="334155"/>
          <w:sz w:val="24"/>
          <w:szCs w:val="24"/>
        </w:rPr>
        <w:t xml:space="preserve">Benefits</w:t>
      </w:r>
    </w:p>
    <w:p>
      <w:pPr>
        <w:pStyle w:val="ListParagraph"/>
        <w:numPr>
          <w:ilvl w:val="0"/>
          <w:numId w:val="2"/>
        </w:numPr>
        <w:spacing w:after="40" w:before="40"/>
      </w:pPr>
      <w:r>
        <w:rPr>
          <w:rFonts w:ascii="Calibri" w:cs="Calibri" w:eastAsia="Calibri" w:hAnsi="Calibri"/>
          <w:color w:val="1E293B"/>
          <w:sz w:val="22"/>
          <w:szCs w:val="22"/>
        </w:rPr>
        <w:t xml:space="preserve">Widest bank coverage (12,000+ institutions including all major US banks)</w:t>
      </w:r>
    </w:p>
    <w:p>
      <w:pPr>
        <w:pStyle w:val="ListParagraph"/>
        <w:numPr>
          <w:ilvl w:val="0"/>
          <w:numId w:val="2"/>
        </w:numPr>
        <w:spacing w:after="40" w:before="40"/>
      </w:pPr>
      <w:r>
        <w:rPr>
          <w:rFonts w:ascii="Calibri" w:cs="Calibri" w:eastAsia="Calibri" w:hAnsi="Calibri"/>
          <w:color w:val="1E293B"/>
          <w:sz w:val="22"/>
          <w:szCs w:val="22"/>
        </w:rPr>
        <w:t xml:space="preserve">Normalized, categorized transaction data — reduces manual categorization work</w:t>
      </w:r>
    </w:p>
    <w:p>
      <w:pPr>
        <w:pStyle w:val="ListParagraph"/>
        <w:numPr>
          <w:ilvl w:val="0"/>
          <w:numId w:val="2"/>
        </w:numPr>
        <w:spacing w:after="40" w:before="40"/>
      </w:pPr>
      <w:r>
        <w:rPr>
          <w:rFonts w:ascii="Calibri" w:cs="Calibri" w:eastAsia="Calibri" w:hAnsi="Calibri"/>
          <w:color w:val="1E293B"/>
          <w:sz w:val="22"/>
          <w:szCs w:val="22"/>
        </w:rPr>
        <w:t xml:space="preserve">Proven technology used by 7,000+ fintech companies</w:t>
      </w:r>
    </w:p>
    <w:p>
      <w:pPr>
        <w:pStyle w:val="ListParagraph"/>
        <w:numPr>
          <w:ilvl w:val="0"/>
          <w:numId w:val="2"/>
        </w:numPr>
        <w:spacing w:after="40" w:before="40"/>
      </w:pPr>
      <w:r>
        <w:rPr>
          <w:rFonts w:ascii="Calibri" w:cs="Calibri" w:eastAsia="Calibri" w:hAnsi="Calibri"/>
          <w:color w:val="1E293B"/>
          <w:sz w:val="22"/>
          <w:szCs w:val="22"/>
        </w:rPr>
        <w:t xml:space="preserve">Handles OAuth, MFA, and credential rotation automatically</w:t>
      </w:r>
    </w:p>
    <w:p>
      <w:pPr>
        <w:pStyle w:val="ListParagraph"/>
        <w:numPr>
          <w:ilvl w:val="0"/>
          <w:numId w:val="2"/>
        </w:numPr>
        <w:spacing w:after="40" w:before="40"/>
      </w:pPr>
      <w:r>
        <w:rPr>
          <w:rFonts w:ascii="Calibri" w:cs="Calibri" w:eastAsia="Calibri" w:hAnsi="Calibri"/>
          <w:color w:val="1E293B"/>
          <w:sz w:val="22"/>
          <w:szCs w:val="22"/>
        </w:rPr>
        <w:t xml:space="preserve">Fastest path to eliminating manual import for most users</w:t>
      </w:r>
    </w:p>
    <w:p>
      <w:pPr>
        <w:pStyle w:val="Heading3"/>
        <w:spacing w:after="80" w:before="180"/>
      </w:pPr>
      <w:r>
        <w:rPr>
          <w:rFonts w:ascii="Calibri" w:cs="Calibri" w:eastAsia="Calibri" w:hAnsi="Calibri"/>
          <w:b/>
          <w:bCs/>
          <w:color w:val="334155"/>
          <w:sz w:val="24"/>
          <w:szCs w:val="24"/>
        </w:rPr>
        <w:t xml:space="preserve">Drawbacks</w:t>
      </w:r>
    </w:p>
    <w:p>
      <w:pPr>
        <w:pStyle w:val="ListParagraph"/>
        <w:numPr>
          <w:ilvl w:val="0"/>
          <w:numId w:val="2"/>
        </w:numPr>
        <w:spacing w:after="40" w:before="40"/>
      </w:pPr>
      <w:r>
        <w:rPr>
          <w:rFonts w:ascii="Calibri" w:cs="Calibri" w:eastAsia="Calibri" w:hAnsi="Calibri"/>
          <w:color w:val="1E293B"/>
          <w:sz w:val="22"/>
          <w:szCs w:val="22"/>
        </w:rPr>
        <w:t xml:space="preserve">Plaid stores persistent access tokens on their servers — Pocket Watch's local-first guarantee is broken</w:t>
      </w:r>
    </w:p>
    <w:p>
      <w:pPr>
        <w:pStyle w:val="ListParagraph"/>
        <w:numPr>
          <w:ilvl w:val="0"/>
          <w:numId w:val="2"/>
        </w:numPr>
        <w:spacing w:after="40" w:before="40"/>
      </w:pPr>
      <w:r>
        <w:rPr>
          <w:rFonts w:ascii="Calibri" w:cs="Calibri" w:eastAsia="Calibri" w:hAnsi="Calibri"/>
          <w:color w:val="1E293B"/>
          <w:sz w:val="22"/>
          <w:szCs w:val="22"/>
        </w:rPr>
        <w:t xml:space="preserve">Pricing: Development tier is free; Production requires $500/mo minimum or per-call pricing ($0.10–0.30 per transaction pull)</w:t>
      </w:r>
    </w:p>
    <w:p>
      <w:pPr>
        <w:pStyle w:val="ListParagraph"/>
        <w:numPr>
          <w:ilvl w:val="0"/>
          <w:numId w:val="2"/>
        </w:numPr>
        <w:spacing w:after="40" w:before="40"/>
      </w:pPr>
      <w:r>
        <w:rPr>
          <w:rFonts w:ascii="Calibri" w:cs="Calibri" w:eastAsia="Calibri" w:hAnsi="Calibri"/>
          <w:color w:val="1E293B"/>
          <w:sz w:val="22"/>
          <w:szCs w:val="22"/>
        </w:rPr>
        <w:t xml:space="preserve">Regulatory exposure: Plaid was subject to a $58M class-action settlement in 2022 for misrepresenting data access scope to consumers</w:t>
      </w:r>
    </w:p>
    <w:p>
      <w:pPr>
        <w:pStyle w:val="ListParagraph"/>
        <w:numPr>
          <w:ilvl w:val="0"/>
          <w:numId w:val="2"/>
        </w:numPr>
        <w:spacing w:after="40" w:before="40"/>
      </w:pPr>
      <w:r>
        <w:rPr>
          <w:rFonts w:ascii="Calibri" w:cs="Calibri" w:eastAsia="Calibri" w:hAnsi="Calibri"/>
          <w:color w:val="1E293B"/>
          <w:sz w:val="22"/>
          <w:szCs w:val="22"/>
        </w:rPr>
        <w:t xml:space="preserve">Single point of failure: Plaid outages (they occur several times per year) prevent any sync</w:t>
      </w:r>
    </w:p>
    <w:p>
      <w:pPr>
        <w:pStyle w:val="ListParagraph"/>
        <w:numPr>
          <w:ilvl w:val="0"/>
          <w:numId w:val="2"/>
        </w:numPr>
        <w:spacing w:after="40" w:before="40"/>
      </w:pPr>
      <w:r>
        <w:rPr>
          <w:rFonts w:ascii="Calibri" w:cs="Calibri" w:eastAsia="Calibri" w:hAnsi="Calibri"/>
          <w:color w:val="1E293B"/>
          <w:sz w:val="22"/>
          <w:szCs w:val="22"/>
        </w:rPr>
        <w:t xml:space="preserve">Privacy policy risk: Plaid explicitly uses aggregated transaction data for internal analytics</w:t>
      </w:r>
    </w:p>
    <w:p>
      <w:pPr>
        <w:pStyle w:val="ListParagraph"/>
        <w:numPr>
          <w:ilvl w:val="0"/>
          <w:numId w:val="2"/>
        </w:numPr>
        <w:spacing w:after="40" w:before="40"/>
      </w:pPr>
      <w:r>
        <w:rPr>
          <w:rFonts w:ascii="Calibri" w:cs="Calibri" w:eastAsia="Calibri" w:hAnsi="Calibri"/>
          <w:color w:val="1E293B"/>
          <w:sz w:val="22"/>
          <w:szCs w:val="22"/>
        </w:rPr>
        <w:t xml:space="preserve">App identity conflict: the app marketing "no data leaves your device" becomes false the moment a user enables Plaid</w:t>
      </w:r>
    </w:p>
    <w:p>
      <w:pPr>
        <w:pBdr>
          <w:left w:val="single" w:color="9B2335" w:sz="24"/>
        </w:pBdr>
        <w:spacing w:after="120" w:before="120"/>
        <w:ind w:left="360"/>
      </w:pPr>
      <w:r>
        <w:rPr>
          <w:rFonts w:ascii="Calibri" w:cs="Calibri" w:eastAsia="Calibri" w:hAnsi="Calibri"/>
          <w:i/>
          <w:iCs/>
          <w:color w:val="334155"/>
          <w:sz w:val="21"/>
          <w:szCs w:val="21"/>
        </w:rPr>
        <w:t xml:space="preserve">Bottom line: Plaid delivers the best user experience but fundamentally contradicts the local-first privacy promise. It cannot be the default or the only option.</w:t>
      </w:r>
    </w:p>
    <w:p>
      <w:pPr>
        <w:spacing w:after="80" w:before="0"/>
      </w:pPr>
    </w:p>
    <w:p>
      <w:pPr>
        <w:pStyle w:val="Heading2"/>
        <w:spacing w:after="100" w:before="240"/>
      </w:pPr>
      <w:r>
        <w:rPr>
          <w:rFonts w:ascii="Calibri" w:cs="Calibri" w:eastAsia="Calibri" w:hAnsi="Calibri"/>
          <w:b/>
          <w:bCs/>
          <w:color w:val="334155"/>
          <w:sz w:val="28"/>
          <w:szCs w:val="28"/>
        </w:rPr>
        <w:t xml:space="preserve">Option B — Screen Scraping (Selenium / Puppeteer)</w:t>
      </w:r>
    </w:p>
    <w:p>
      <w:pPr>
        <w:spacing w:after="120" w:before="60"/>
      </w:pPr>
      <w:r>
        <w:rPr>
          <w:rFonts w:ascii="Calibri" w:cs="Calibri" w:eastAsia="Calibri" w:hAnsi="Calibri"/>
          <w:color w:val="1E293B"/>
          <w:sz w:val="22"/>
          <w:szCs w:val="22"/>
        </w:rPr>
        <w:t xml:space="preserve">Screen scraping involves programmatically logging into a user's bank website and extracting transaction data by simulating a browser session. This is how older aggregators like Yodlee originally worked.</w:t>
      </w:r>
    </w:p>
    <w:p>
      <w:pPr>
        <w:pStyle w:val="Heading3"/>
        <w:spacing w:after="80" w:before="180"/>
      </w:pPr>
      <w:r>
        <w:rPr>
          <w:rFonts w:ascii="Calibri" w:cs="Calibri" w:eastAsia="Calibri" w:hAnsi="Calibri"/>
          <w:b/>
          <w:bCs/>
          <w:color w:val="334155"/>
          <w:sz w:val="24"/>
          <w:szCs w:val="24"/>
        </w:rPr>
        <w:t xml:space="preserve">Benefits</w:t>
      </w:r>
    </w:p>
    <w:p>
      <w:pPr>
        <w:pStyle w:val="ListParagraph"/>
        <w:numPr>
          <w:ilvl w:val="0"/>
          <w:numId w:val="2"/>
        </w:numPr>
        <w:spacing w:after="40" w:before="40"/>
      </w:pPr>
      <w:r>
        <w:rPr>
          <w:rFonts w:ascii="Calibri" w:cs="Calibri" w:eastAsia="Calibri" w:hAnsi="Calibri"/>
          <w:color w:val="1E293B"/>
          <w:sz w:val="22"/>
          <w:szCs w:val="22"/>
        </w:rPr>
        <w:t xml:space="preserve">No third-party service dependency</w:t>
      </w:r>
    </w:p>
    <w:p>
      <w:pPr>
        <w:pStyle w:val="ListParagraph"/>
        <w:numPr>
          <w:ilvl w:val="0"/>
          <w:numId w:val="2"/>
        </w:numPr>
        <w:spacing w:after="40" w:before="40"/>
      </w:pPr>
      <w:r>
        <w:rPr>
          <w:rFonts w:ascii="Calibri" w:cs="Calibri" w:eastAsia="Calibri" w:hAnsi="Calibri"/>
          <w:color w:val="1E293B"/>
          <w:sz w:val="22"/>
          <w:szCs w:val="22"/>
        </w:rPr>
        <w:t xml:space="preserve">No per-call cost</w:t>
      </w:r>
    </w:p>
    <w:p>
      <w:pPr>
        <w:pStyle w:val="Heading3"/>
        <w:spacing w:after="80" w:before="180"/>
      </w:pPr>
      <w:r>
        <w:rPr>
          <w:rFonts w:ascii="Calibri" w:cs="Calibri" w:eastAsia="Calibri" w:hAnsi="Calibri"/>
          <w:b/>
          <w:bCs/>
          <w:color w:val="334155"/>
          <w:sz w:val="24"/>
          <w:szCs w:val="24"/>
        </w:rPr>
        <w:t xml:space="preserve">Drawbacks</w:t>
      </w:r>
    </w:p>
    <w:p>
      <w:pPr>
        <w:pStyle w:val="ListParagraph"/>
        <w:numPr>
          <w:ilvl w:val="0"/>
          <w:numId w:val="2"/>
        </w:numPr>
        <w:spacing w:after="40" w:before="40"/>
      </w:pPr>
      <w:r>
        <w:rPr>
          <w:rFonts w:ascii="Calibri" w:cs="Calibri" w:eastAsia="Calibri" w:hAnsi="Calibri"/>
          <w:color w:val="1E293B"/>
          <w:sz w:val="22"/>
          <w:szCs w:val="22"/>
        </w:rPr>
        <w:t xml:space="preserve">Banks actively detect and block automated login attempts — CAPTCHA, device fingerprinting, behavioral analysis</w:t>
      </w:r>
    </w:p>
    <w:p>
      <w:pPr>
        <w:pStyle w:val="ListParagraph"/>
        <w:numPr>
          <w:ilvl w:val="0"/>
          <w:numId w:val="2"/>
        </w:numPr>
        <w:spacing w:after="40" w:before="40"/>
      </w:pPr>
      <w:r>
        <w:rPr>
          <w:rFonts w:ascii="Calibri" w:cs="Calibri" w:eastAsia="Calibri" w:hAnsi="Calibri"/>
          <w:color w:val="1E293B"/>
          <w:sz w:val="22"/>
          <w:szCs w:val="22"/>
        </w:rPr>
        <w:t xml:space="preserve">Violates most banks' Terms of Service — legal risk for both developer and user</w:t>
      </w:r>
    </w:p>
    <w:p>
      <w:pPr>
        <w:pStyle w:val="ListParagraph"/>
        <w:numPr>
          <w:ilvl w:val="0"/>
          <w:numId w:val="2"/>
        </w:numPr>
        <w:spacing w:after="40" w:before="40"/>
      </w:pPr>
      <w:r>
        <w:rPr>
          <w:rFonts w:ascii="Calibri" w:cs="Calibri" w:eastAsia="Calibri" w:hAnsi="Calibri"/>
          <w:color w:val="1E293B"/>
          <w:sz w:val="22"/>
          <w:szCs w:val="22"/>
        </w:rPr>
        <w:t xml:space="preserve">Extremely brittle: any bank UI change breaks the scraper</w:t>
      </w:r>
    </w:p>
    <w:p>
      <w:pPr>
        <w:pStyle w:val="ListParagraph"/>
        <w:numPr>
          <w:ilvl w:val="0"/>
          <w:numId w:val="2"/>
        </w:numPr>
        <w:spacing w:after="40" w:before="40"/>
      </w:pPr>
      <w:r>
        <w:rPr>
          <w:rFonts w:ascii="Calibri" w:cs="Calibri" w:eastAsia="Calibri" w:hAnsi="Calibri"/>
          <w:color w:val="1E293B"/>
          <w:sz w:val="22"/>
          <w:szCs w:val="22"/>
        </w:rPr>
        <w:t xml:space="preserve">Requires storing plaintext bank credentials somewhere — severe security risk</w:t>
      </w:r>
    </w:p>
    <w:p>
      <w:pPr>
        <w:pStyle w:val="ListParagraph"/>
        <w:numPr>
          <w:ilvl w:val="0"/>
          <w:numId w:val="2"/>
        </w:numPr>
        <w:spacing w:after="40" w:before="40"/>
      </w:pPr>
      <w:r>
        <w:rPr>
          <w:rFonts w:ascii="Calibri" w:cs="Calibri" w:eastAsia="Calibri" w:hAnsi="Calibri"/>
          <w:color w:val="1E293B"/>
          <w:sz w:val="22"/>
          <w:szCs w:val="22"/>
        </w:rPr>
        <w:t xml:space="preserve">Maintenance burden is proportional to the number of supported banks: O(n) per bank update</w:t>
      </w:r>
    </w:p>
    <w:p>
      <w:pPr>
        <w:pBdr>
          <w:left w:val="single" w:color="9B2335" w:sz="24"/>
        </w:pBdr>
        <w:spacing w:after="120" w:before="120"/>
        <w:ind w:left="360"/>
      </w:pPr>
      <w:r>
        <w:rPr>
          <w:rFonts w:ascii="Calibri" w:cs="Calibri" w:eastAsia="Calibri" w:hAnsi="Calibri"/>
          <w:i/>
          <w:iCs/>
          <w:color w:val="334155"/>
          <w:sz w:val="21"/>
          <w:szCs w:val="21"/>
        </w:rPr>
        <w:t xml:space="preserve">Bottom line: Not viable. Legal risk, technical fragility, and credential-storage requirements make this a non-starter for any serious product.</w:t>
      </w:r>
    </w:p>
    <w:p>
      <w:pPr>
        <w:spacing w:after="80" w:before="0"/>
      </w:pPr>
    </w:p>
    <w:p>
      <w:pPr>
        <w:pStyle w:val="Heading2"/>
        <w:spacing w:after="100" w:before="240"/>
      </w:pPr>
      <w:r>
        <w:rPr>
          <w:rFonts w:ascii="Calibri" w:cs="Calibri" w:eastAsia="Calibri" w:hAnsi="Calibri"/>
          <w:b/>
          <w:bCs/>
          <w:color w:val="334155"/>
          <w:sz w:val="28"/>
          <w:szCs w:val="28"/>
        </w:rPr>
        <w:t xml:space="preserve">Option C — Browser Extension (Recommended for Phase 1)</w:t>
      </w:r>
    </w:p>
    <w:p>
      <w:pPr>
        <w:spacing w:after="120" w:before="60"/>
      </w:pPr>
      <w:r>
        <w:rPr>
          <w:rFonts w:ascii="Calibri" w:cs="Calibri" w:eastAsia="Calibri" w:hAnsi="Calibri"/>
          <w:color w:val="1E293B"/>
          <w:sz w:val="22"/>
          <w:szCs w:val="22"/>
        </w:rPr>
        <w:t xml:space="preserve">A companion browser extension (Chrome/Edge/Firefox) sits inside the user's browser session, detects when they visit their bank's website, and captures the transaction data that the bank is already rendering on screen. It then passes the data to the desktop app via a local WebSocket or native messaging.</w:t>
      </w:r>
    </w:p>
    <w:p>
      <w:pPr>
        <w:pStyle w:val="Heading3"/>
        <w:spacing w:after="80" w:before="180"/>
      </w:pPr>
      <w:r>
        <w:rPr>
          <w:rFonts w:ascii="Calibri" w:cs="Calibri" w:eastAsia="Calibri" w:hAnsi="Calibri"/>
          <w:b/>
          <w:bCs/>
          <w:color w:val="334155"/>
          <w:sz w:val="24"/>
          <w:szCs w:val="24"/>
        </w:rPr>
        <w:t xml:space="preserve">How it works</w:t>
      </w:r>
    </w:p>
    <w:p>
      <w:pPr>
        <w:pStyle w:val="ListParagraph"/>
        <w:numPr>
          <w:ilvl w:val="0"/>
          <w:numId w:val="3"/>
        </w:numPr>
        <w:spacing w:after="40" w:before="40"/>
      </w:pPr>
      <w:r>
        <w:rPr>
          <w:rFonts w:ascii="Calibri" w:cs="Calibri" w:eastAsia="Calibri" w:hAnsi="Calibri"/>
          <w:color w:val="1E293B"/>
          <w:sz w:val="22"/>
          <w:szCs w:val="22"/>
        </w:rPr>
        <w:t xml:space="preserve">User installs the Pocket Watch browser extension from the Chrome/Edge store</w:t>
      </w:r>
    </w:p>
    <w:p>
      <w:pPr>
        <w:pStyle w:val="ListParagraph"/>
        <w:numPr>
          <w:ilvl w:val="0"/>
          <w:numId w:val="3"/>
        </w:numPr>
        <w:spacing w:after="40" w:before="40"/>
      </w:pPr>
      <w:r>
        <w:rPr>
          <w:rFonts w:ascii="Calibri" w:cs="Calibri" w:eastAsia="Calibri" w:hAnsi="Calibri"/>
          <w:color w:val="1E293B"/>
          <w:sz w:val="22"/>
          <w:szCs w:val="22"/>
        </w:rPr>
        <w:t xml:space="preserve">User logs in to their bank's website normally — no credentials shared with the extension</w:t>
      </w:r>
    </w:p>
    <w:p>
      <w:pPr>
        <w:pStyle w:val="ListParagraph"/>
        <w:numPr>
          <w:ilvl w:val="0"/>
          <w:numId w:val="3"/>
        </w:numPr>
        <w:spacing w:after="40" w:before="40"/>
      </w:pPr>
      <w:r>
        <w:rPr>
          <w:rFonts w:ascii="Calibri" w:cs="Calibri" w:eastAsia="Calibri" w:hAnsi="Calibri"/>
          <w:color w:val="1E293B"/>
          <w:sz w:val="22"/>
          <w:szCs w:val="22"/>
        </w:rPr>
        <w:t xml:space="preserve">Extension detects the bank and parses transaction tables from the rendered page DOM</w:t>
      </w:r>
    </w:p>
    <w:p>
      <w:pPr>
        <w:pStyle w:val="ListParagraph"/>
        <w:numPr>
          <w:ilvl w:val="0"/>
          <w:numId w:val="3"/>
        </w:numPr>
        <w:spacing w:after="40" w:before="40"/>
      </w:pPr>
      <w:r>
        <w:rPr>
          <w:rFonts w:ascii="Calibri" w:cs="Calibri" w:eastAsia="Calibri" w:hAnsi="Calibri"/>
          <w:color w:val="1E293B"/>
          <w:sz w:val="22"/>
          <w:szCs w:val="22"/>
        </w:rPr>
        <w:t xml:space="preserve">Extracted data is sent directly to the Pocket Watch desktop app via native messaging (no internet hop)</w:t>
      </w:r>
    </w:p>
    <w:p>
      <w:pPr>
        <w:pStyle w:val="ListParagraph"/>
        <w:numPr>
          <w:ilvl w:val="0"/>
          <w:numId w:val="3"/>
        </w:numPr>
        <w:spacing w:after="40" w:before="40"/>
      </w:pPr>
      <w:r>
        <w:rPr>
          <w:rFonts w:ascii="Calibri" w:cs="Calibri" w:eastAsia="Calibri" w:hAnsi="Calibri"/>
          <w:color w:val="1E293B"/>
          <w:sz w:val="22"/>
          <w:szCs w:val="22"/>
        </w:rPr>
        <w:t xml:space="preserve">App deduplicates against existing transactions and presents for review</w:t>
      </w:r>
    </w:p>
    <w:p>
      <w:pPr>
        <w:pStyle w:val="Heading3"/>
        <w:spacing w:after="80" w:before="180"/>
      </w:pPr>
      <w:r>
        <w:rPr>
          <w:rFonts w:ascii="Calibri" w:cs="Calibri" w:eastAsia="Calibri" w:hAnsi="Calibri"/>
          <w:b/>
          <w:bCs/>
          <w:color w:val="334155"/>
          <w:sz w:val="24"/>
          <w:szCs w:val="24"/>
        </w:rPr>
        <w:t xml:space="preserve">Benefits</w:t>
      </w:r>
    </w:p>
    <w:p>
      <w:pPr>
        <w:pStyle w:val="ListParagraph"/>
        <w:numPr>
          <w:ilvl w:val="0"/>
          <w:numId w:val="2"/>
        </w:numPr>
        <w:spacing w:after="40" w:before="40"/>
      </w:pPr>
      <w:r>
        <w:rPr>
          <w:rFonts w:ascii="Calibri" w:cs="Calibri" w:eastAsia="Calibri" w:hAnsi="Calibri"/>
          <w:color w:val="1E293B"/>
          <w:sz w:val="22"/>
          <w:szCs w:val="22"/>
        </w:rPr>
        <w:t xml:space="preserve">No credentials stored anywhere by Pocket Watch — the user authenticates with their bank directly</w:t>
      </w:r>
    </w:p>
    <w:p>
      <w:pPr>
        <w:pStyle w:val="ListParagraph"/>
        <w:numPr>
          <w:ilvl w:val="0"/>
          <w:numId w:val="2"/>
        </w:numPr>
        <w:spacing w:after="40" w:before="40"/>
      </w:pPr>
      <w:r>
        <w:rPr>
          <w:rFonts w:ascii="Calibri" w:cs="Calibri" w:eastAsia="Calibri" w:hAnsi="Calibri"/>
          <w:color w:val="1E293B"/>
          <w:sz w:val="22"/>
          <w:szCs w:val="22"/>
        </w:rPr>
        <w:t xml:space="preserve">No server infrastructure required — data flows: bank → browser → extension → local app</w:t>
      </w:r>
    </w:p>
    <w:p>
      <w:pPr>
        <w:pStyle w:val="ListParagraph"/>
        <w:numPr>
          <w:ilvl w:val="0"/>
          <w:numId w:val="2"/>
        </w:numPr>
        <w:spacing w:after="40" w:before="40"/>
      </w:pPr>
      <w:r>
        <w:rPr>
          <w:rFonts w:ascii="Calibri" w:cs="Calibri" w:eastAsia="Calibri" w:hAnsi="Calibri"/>
          <w:color w:val="1E293B"/>
          <w:sz w:val="22"/>
          <w:szCs w:val="22"/>
        </w:rPr>
        <w:t xml:space="preserve">No per-call cost</w:t>
      </w:r>
    </w:p>
    <w:p>
      <w:pPr>
        <w:pStyle w:val="ListParagraph"/>
        <w:numPr>
          <w:ilvl w:val="0"/>
          <w:numId w:val="2"/>
        </w:numPr>
        <w:spacing w:after="40" w:before="40"/>
      </w:pPr>
      <w:r>
        <w:rPr>
          <w:rFonts w:ascii="Calibri" w:cs="Calibri" w:eastAsia="Calibri" w:hAnsi="Calibri"/>
          <w:color w:val="1E293B"/>
          <w:sz w:val="22"/>
          <w:szCs w:val="22"/>
        </w:rPr>
        <w:t xml:space="preserve">Fully consistent with local-first privacy promise — data never touches any third-party server</w:t>
      </w:r>
    </w:p>
    <w:p>
      <w:pPr>
        <w:pStyle w:val="ListParagraph"/>
        <w:numPr>
          <w:ilvl w:val="0"/>
          <w:numId w:val="2"/>
        </w:numPr>
        <w:spacing w:after="40" w:before="40"/>
      </w:pPr>
      <w:r>
        <w:rPr>
          <w:rFonts w:ascii="Calibri" w:cs="Calibri" w:eastAsia="Calibri" w:hAnsi="Calibri"/>
          <w:color w:val="1E293B"/>
          <w:sz w:val="22"/>
          <w:szCs w:val="22"/>
        </w:rPr>
        <w:t xml:space="preserve">Works with any bank the user can log into via a browser</w:t>
      </w:r>
    </w:p>
    <w:p>
      <w:pPr>
        <w:pStyle w:val="ListParagraph"/>
        <w:numPr>
          <w:ilvl w:val="0"/>
          <w:numId w:val="2"/>
        </w:numPr>
        <w:spacing w:after="40" w:before="40"/>
      </w:pPr>
      <w:r>
        <w:rPr>
          <w:rFonts w:ascii="Calibri" w:cs="Calibri" w:eastAsia="Calibri" w:hAnsi="Calibri"/>
          <w:color w:val="1E293B"/>
          <w:sz w:val="22"/>
          <w:szCs w:val="22"/>
        </w:rPr>
        <w:t xml:space="preserve">Models used by Actual Budget and older versions of YNAB</w:t>
      </w:r>
    </w:p>
    <w:p>
      <w:pPr>
        <w:pStyle w:val="Heading3"/>
        <w:spacing w:after="80" w:before="180"/>
      </w:pPr>
      <w:r>
        <w:rPr>
          <w:rFonts w:ascii="Calibri" w:cs="Calibri" w:eastAsia="Calibri" w:hAnsi="Calibri"/>
          <w:b/>
          <w:bCs/>
          <w:color w:val="334155"/>
          <w:sz w:val="24"/>
          <w:szCs w:val="24"/>
        </w:rPr>
        <w:t xml:space="preserve">Drawbacks</w:t>
      </w:r>
    </w:p>
    <w:p>
      <w:pPr>
        <w:pStyle w:val="ListParagraph"/>
        <w:numPr>
          <w:ilvl w:val="0"/>
          <w:numId w:val="2"/>
        </w:numPr>
        <w:spacing w:after="40" w:before="40"/>
      </w:pPr>
      <w:r>
        <w:rPr>
          <w:rFonts w:ascii="Calibri" w:cs="Calibri" w:eastAsia="Calibri" w:hAnsi="Calibri"/>
          <w:color w:val="1E293B"/>
          <w:sz w:val="22"/>
          <w:szCs w:val="22"/>
        </w:rPr>
        <w:t xml:space="preserve">Requires a separate browser extension install — adds friction to setup</w:t>
      </w:r>
    </w:p>
    <w:p>
      <w:pPr>
        <w:pStyle w:val="ListParagraph"/>
        <w:numPr>
          <w:ilvl w:val="0"/>
          <w:numId w:val="2"/>
        </w:numPr>
        <w:spacing w:after="40" w:before="40"/>
      </w:pPr>
      <w:r>
        <w:rPr>
          <w:rFonts w:ascii="Calibri" w:cs="Calibri" w:eastAsia="Calibri" w:hAnsi="Calibri"/>
          <w:color w:val="1E293B"/>
          <w:sz w:val="22"/>
          <w:szCs w:val="22"/>
        </w:rPr>
        <w:t xml:space="preserve">Bank website DOM changes break individual bank parsers — ongoing maintenance per bank</w:t>
      </w:r>
    </w:p>
    <w:p>
      <w:pPr>
        <w:pStyle w:val="ListParagraph"/>
        <w:numPr>
          <w:ilvl w:val="0"/>
          <w:numId w:val="2"/>
        </w:numPr>
        <w:spacing w:after="40" w:before="40"/>
      </w:pPr>
      <w:r>
        <w:rPr>
          <w:rFonts w:ascii="Calibri" w:cs="Calibri" w:eastAsia="Calibri" w:hAnsi="Calibri"/>
          <w:color w:val="1E293B"/>
          <w:sz w:val="22"/>
          <w:szCs w:val="22"/>
        </w:rPr>
        <w:t xml:space="preserve">Not automatic — user must trigger an import by visiting their bank (though this can be scheduled in browser)</w:t>
      </w:r>
    </w:p>
    <w:p>
      <w:pPr>
        <w:pStyle w:val="ListParagraph"/>
        <w:numPr>
          <w:ilvl w:val="0"/>
          <w:numId w:val="2"/>
        </w:numPr>
        <w:spacing w:after="40" w:before="40"/>
      </w:pPr>
      <w:r>
        <w:rPr>
          <w:rFonts w:ascii="Calibri" w:cs="Calibri" w:eastAsia="Calibri" w:hAnsi="Calibri"/>
          <w:color w:val="1E293B"/>
          <w:sz w:val="22"/>
          <w:szCs w:val="22"/>
        </w:rPr>
        <w:t xml:space="preserve">Not available on mobile (unless paired with a separate mobile companion)</w:t>
      </w:r>
    </w:p>
    <w:p>
      <w:pPr>
        <w:pStyle w:val="ListParagraph"/>
        <w:numPr>
          <w:ilvl w:val="0"/>
          <w:numId w:val="2"/>
        </w:numPr>
        <w:spacing w:after="40" w:before="40"/>
      </w:pPr>
      <w:r>
        <w:rPr>
          <w:rFonts w:ascii="Calibri" w:cs="Calibri" w:eastAsia="Calibri" w:hAnsi="Calibri"/>
          <w:color w:val="1E293B"/>
          <w:sz w:val="22"/>
          <w:szCs w:val="22"/>
        </w:rPr>
        <w:t xml:space="preserve">Extension store review processes (Google, Microsoft) can delay updates and may reject the extension</w:t>
      </w:r>
    </w:p>
    <w:p>
      <w:pPr>
        <w:pStyle w:val="ListParagraph"/>
        <w:numPr>
          <w:ilvl w:val="0"/>
          <w:numId w:val="2"/>
        </w:numPr>
        <w:spacing w:after="40" w:before="40"/>
      </w:pPr>
      <w:r>
        <w:rPr>
          <w:rFonts w:ascii="Calibri" w:cs="Calibri" w:eastAsia="Calibri" w:hAnsi="Calibri"/>
          <w:color w:val="1E293B"/>
          <w:sz w:val="22"/>
          <w:szCs w:val="22"/>
        </w:rPr>
        <w:t xml:space="preserve">Technically complex: requires native messaging host setup, Tauri IPC bridge, and extension-side DOM parsers per bank</w:t>
      </w:r>
    </w:p>
    <w:p>
      <w:pPr>
        <w:pBdr>
          <w:left w:val="single" w:color="2D6A4F" w:sz="24"/>
        </w:pBdr>
        <w:spacing w:after="120" w:before="120"/>
        <w:ind w:left="360"/>
      </w:pPr>
      <w:r>
        <w:rPr>
          <w:rFonts w:ascii="Calibri" w:cs="Calibri" w:eastAsia="Calibri" w:hAnsi="Calibri"/>
          <w:i/>
          <w:iCs/>
          <w:color w:val="334155"/>
          <w:sz w:val="21"/>
          <w:szCs w:val="21"/>
        </w:rPr>
        <w:t xml:space="preserve">Bottom line: The right Phase 1 answer. It delivers meaningful sync capability with zero privacy compromise. Actual Budget uses this model successfully. Estimated development: 6–10 weeks for core extension + parsers for top 10 US banks.</w:t>
      </w:r>
    </w:p>
    <w:p>
      <w:pPr>
        <w:spacing w:after="80" w:before="0"/>
      </w:pPr>
    </w:p>
    <w:p>
      <w:pPr>
        <w:pStyle w:val="Heading2"/>
        <w:spacing w:after="100" w:before="240"/>
      </w:pPr>
      <w:r>
        <w:rPr>
          <w:rFonts w:ascii="Calibri" w:cs="Calibri" w:eastAsia="Calibri" w:hAnsi="Calibri"/>
          <w:b/>
          <w:bCs/>
          <w:color w:val="334155"/>
          <w:sz w:val="28"/>
          <w:szCs w:val="28"/>
        </w:rPr>
        <w:t xml:space="preserve">Option D — OFX / QFX Direct Download</w:t>
      </w:r>
    </w:p>
    <w:p>
      <w:pPr>
        <w:spacing w:after="120" w:before="60"/>
      </w:pPr>
      <w:r>
        <w:rPr>
          <w:rFonts w:ascii="Calibri" w:cs="Calibri" w:eastAsia="Calibri" w:hAnsi="Calibri"/>
          <w:color w:val="1E293B"/>
          <w:sz w:val="22"/>
          <w:szCs w:val="22"/>
        </w:rPr>
        <w:t xml:space="preserve">Most US banks support direct download of transaction history in OFX (Open Financial Exchange) or QFX (Quicken Financial Exchange) format. This is the format Quicken has used since the 1990s. Users download the file from their bank and import it into Pocket Watch.</w:t>
      </w:r>
    </w:p>
    <w:p>
      <w:pPr>
        <w:pStyle w:val="Heading3"/>
        <w:spacing w:after="80" w:before="180"/>
      </w:pPr>
      <w:r>
        <w:rPr>
          <w:rFonts w:ascii="Calibri" w:cs="Calibri" w:eastAsia="Calibri" w:hAnsi="Calibri"/>
          <w:b/>
          <w:bCs/>
          <w:color w:val="334155"/>
          <w:sz w:val="24"/>
          <w:szCs w:val="24"/>
        </w:rPr>
        <w:t xml:space="preserve">Benefits</w:t>
      </w:r>
    </w:p>
    <w:p>
      <w:pPr>
        <w:pStyle w:val="ListParagraph"/>
        <w:numPr>
          <w:ilvl w:val="0"/>
          <w:numId w:val="2"/>
        </w:numPr>
        <w:spacing w:after="40" w:before="40"/>
      </w:pPr>
      <w:r>
        <w:rPr>
          <w:rFonts w:ascii="Calibri" w:cs="Calibri" w:eastAsia="Calibri" w:hAnsi="Calibri"/>
          <w:color w:val="1E293B"/>
          <w:sz w:val="22"/>
          <w:szCs w:val="22"/>
        </w:rPr>
        <w:t xml:space="preserve">Completely offline — no third party involved at any point</w:t>
      </w:r>
    </w:p>
    <w:p>
      <w:pPr>
        <w:pStyle w:val="ListParagraph"/>
        <w:numPr>
          <w:ilvl w:val="0"/>
          <w:numId w:val="2"/>
        </w:numPr>
        <w:spacing w:after="40" w:before="40"/>
      </w:pPr>
      <w:r>
        <w:rPr>
          <w:rFonts w:ascii="Calibri" w:cs="Calibri" w:eastAsia="Calibri" w:hAnsi="Calibri"/>
          <w:color w:val="1E293B"/>
          <w:sz w:val="22"/>
          <w:szCs w:val="22"/>
        </w:rPr>
        <w:t xml:space="preserve">Already supported by nearly all major US banks</w:t>
      </w:r>
    </w:p>
    <w:p>
      <w:pPr>
        <w:pStyle w:val="ListParagraph"/>
        <w:numPr>
          <w:ilvl w:val="0"/>
          <w:numId w:val="2"/>
        </w:numPr>
        <w:spacing w:after="40" w:before="40"/>
      </w:pPr>
      <w:r>
        <w:rPr>
          <w:rFonts w:ascii="Calibri" w:cs="Calibri" w:eastAsia="Calibri" w:hAnsi="Calibri"/>
          <w:color w:val="1E293B"/>
          <w:sz w:val="22"/>
          <w:szCs w:val="22"/>
        </w:rPr>
        <w:t xml:space="preserve">Data is machine-readable and well-structured — much cleaner than CSV</w:t>
      </w:r>
    </w:p>
    <w:p>
      <w:pPr>
        <w:pStyle w:val="ListParagraph"/>
        <w:numPr>
          <w:ilvl w:val="0"/>
          <w:numId w:val="2"/>
        </w:numPr>
        <w:spacing w:after="40" w:before="40"/>
      </w:pPr>
      <w:r>
        <w:rPr>
          <w:rFonts w:ascii="Calibri" w:cs="Calibri" w:eastAsia="Calibri" w:hAnsi="Calibri"/>
          <w:color w:val="1E293B"/>
          <w:sz w:val="22"/>
          <w:szCs w:val="22"/>
        </w:rPr>
        <w:t xml:space="preserve">Relatively simple to implement: parse OFX/QFX XML format</w:t>
      </w:r>
    </w:p>
    <w:p>
      <w:pPr>
        <w:pStyle w:val="ListParagraph"/>
        <w:numPr>
          <w:ilvl w:val="0"/>
          <w:numId w:val="2"/>
        </w:numPr>
        <w:spacing w:after="40" w:before="40"/>
      </w:pPr>
      <w:r>
        <w:rPr>
          <w:rFonts w:ascii="Calibri" w:cs="Calibri" w:eastAsia="Calibri" w:hAnsi="Calibri"/>
          <w:color w:val="1E293B"/>
          <w:sz w:val="22"/>
          <w:szCs w:val="22"/>
        </w:rPr>
        <w:t xml:space="preserve">Already familiar to Quicken and Mint migrants (a large portion of the target audience)</w:t>
      </w:r>
    </w:p>
    <w:p>
      <w:pPr>
        <w:pStyle w:val="Heading3"/>
        <w:spacing w:after="80" w:before="180"/>
      </w:pPr>
      <w:r>
        <w:rPr>
          <w:rFonts w:ascii="Calibri" w:cs="Calibri" w:eastAsia="Calibri" w:hAnsi="Calibri"/>
          <w:b/>
          <w:bCs/>
          <w:color w:val="334155"/>
          <w:sz w:val="24"/>
          <w:szCs w:val="24"/>
        </w:rPr>
        <w:t xml:space="preserve">Drawbacks</w:t>
      </w:r>
    </w:p>
    <w:p>
      <w:pPr>
        <w:pStyle w:val="ListParagraph"/>
        <w:numPr>
          <w:ilvl w:val="0"/>
          <w:numId w:val="2"/>
        </w:numPr>
        <w:spacing w:after="40" w:before="40"/>
      </w:pPr>
      <w:r>
        <w:rPr>
          <w:rFonts w:ascii="Calibri" w:cs="Calibri" w:eastAsia="Calibri" w:hAnsi="Calibri"/>
          <w:color w:val="1E293B"/>
          <w:sz w:val="22"/>
          <w:szCs w:val="22"/>
        </w:rPr>
        <w:t xml:space="preserve">Still manual — user must visit their bank website, download the file, and import</w:t>
      </w:r>
    </w:p>
    <w:p>
      <w:pPr>
        <w:pStyle w:val="ListParagraph"/>
        <w:numPr>
          <w:ilvl w:val="0"/>
          <w:numId w:val="2"/>
        </w:numPr>
        <w:spacing w:after="40" w:before="40"/>
      </w:pPr>
      <w:r>
        <w:rPr>
          <w:rFonts w:ascii="Calibri" w:cs="Calibri" w:eastAsia="Calibri" w:hAnsi="Calibri"/>
          <w:color w:val="1E293B"/>
          <w:sz w:val="22"/>
          <w:szCs w:val="22"/>
        </w:rPr>
        <w:t xml:space="preserve">Some banks charge for OFX access (Wells Fargo: $9.95/mo) or restrict it to premium accounts</w:t>
      </w:r>
    </w:p>
    <w:p>
      <w:pPr>
        <w:pStyle w:val="ListParagraph"/>
        <w:numPr>
          <w:ilvl w:val="0"/>
          <w:numId w:val="2"/>
        </w:numPr>
        <w:spacing w:after="40" w:before="40"/>
      </w:pPr>
      <w:r>
        <w:rPr>
          <w:rFonts w:ascii="Calibri" w:cs="Calibri" w:eastAsia="Calibri" w:hAnsi="Calibri"/>
          <w:color w:val="1E293B"/>
          <w:sz w:val="22"/>
          <w:szCs w:val="22"/>
        </w:rPr>
        <w:t xml:space="preserve">Less frictionless than true background sync</w:t>
      </w:r>
    </w:p>
    <w:p>
      <w:pPr>
        <w:pBdr>
          <w:left w:val="single" w:color="2D6A4F" w:sz="24"/>
        </w:pBdr>
        <w:spacing w:after="120" w:before="120"/>
        <w:ind w:left="360"/>
      </w:pPr>
      <w:r>
        <w:rPr>
          <w:rFonts w:ascii="Calibri" w:cs="Calibri" w:eastAsia="Calibri" w:hAnsi="Calibri"/>
          <w:i/>
          <w:iCs/>
          <w:color w:val="334155"/>
          <w:sz w:val="21"/>
          <w:szCs w:val="21"/>
        </w:rPr>
        <w:t xml:space="preserve">Bottom line: A high-value, low-effort addition. OFX/QFX import is the fastest way to reduce import friction for bank-savvy users without any privacy cost. Should ship as an immediate enhancement regardless of the sync decision.</w:t>
      </w:r>
    </w:p>
    <w:p>
      <w:pPr>
        <w:spacing w:after="80" w:before="0"/>
      </w:pPr>
    </w:p>
    <w:p>
      <w:pPr>
        <w:pStyle w:val="Heading2"/>
        <w:spacing w:after="100" w:before="240"/>
      </w:pPr>
      <w:r>
        <w:rPr>
          <w:rFonts w:ascii="Calibri" w:cs="Calibri" w:eastAsia="Calibri" w:hAnsi="Calibri"/>
          <w:b/>
          <w:bCs/>
          <w:color w:val="334155"/>
          <w:sz w:val="28"/>
          <w:szCs w:val="28"/>
        </w:rPr>
        <w:t xml:space="preserve">Option E — CSV Import Improvements</w:t>
      </w:r>
    </w:p>
    <w:p>
      <w:pPr>
        <w:spacing w:after="120" w:before="60"/>
      </w:pPr>
      <w:r>
        <w:rPr>
          <w:rFonts w:ascii="Calibri" w:cs="Calibri" w:eastAsia="Calibri" w:hAnsi="Calibri"/>
          <w:color w:val="1E293B"/>
          <w:sz w:val="22"/>
          <w:szCs w:val="22"/>
        </w:rPr>
        <w:t xml:space="preserve">Pocket Watch already supports CSV import. This option focuses on reducing friction in the existing flow rather than adding new sync mechanisms.</w:t>
      </w:r>
    </w:p>
    <w:p>
      <w:pPr>
        <w:pStyle w:val="Heading3"/>
        <w:spacing w:after="80" w:before="180"/>
      </w:pPr>
      <w:r>
        <w:rPr>
          <w:rFonts w:ascii="Calibri" w:cs="Calibri" w:eastAsia="Calibri" w:hAnsi="Calibri"/>
          <w:b/>
          <w:bCs/>
          <w:color w:val="334155"/>
          <w:sz w:val="24"/>
          <w:szCs w:val="24"/>
        </w:rPr>
        <w:t xml:space="preserve">Potential improvements</w:t>
      </w:r>
    </w:p>
    <w:p>
      <w:pPr>
        <w:pStyle w:val="ListParagraph"/>
        <w:numPr>
          <w:ilvl w:val="0"/>
          <w:numId w:val="2"/>
        </w:numPr>
        <w:spacing w:after="40" w:before="40"/>
      </w:pPr>
      <w:r>
        <w:rPr>
          <w:rFonts w:ascii="Calibri" w:cs="Calibri" w:eastAsia="Calibri" w:hAnsi="Calibri"/>
          <w:color w:val="1E293B"/>
          <w:sz w:val="22"/>
          <w:szCs w:val="22"/>
        </w:rPr>
        <w:t xml:space="preserve">Drag-and-drop file import from any app window (not just the import dialog)</w:t>
      </w:r>
    </w:p>
    <w:p>
      <w:pPr>
        <w:pStyle w:val="ListParagraph"/>
        <w:numPr>
          <w:ilvl w:val="0"/>
          <w:numId w:val="2"/>
        </w:numPr>
        <w:spacing w:after="40" w:before="40"/>
      </w:pPr>
      <w:r>
        <w:rPr>
          <w:rFonts w:ascii="Calibri" w:cs="Calibri" w:eastAsia="Calibri" w:hAnsi="Calibri"/>
          <w:color w:val="1E293B"/>
          <w:sz w:val="22"/>
          <w:szCs w:val="22"/>
        </w:rPr>
        <w:t xml:space="preserve">Auto-detect bank format from column headers — eliminate the "map columns" step</w:t>
      </w:r>
    </w:p>
    <w:p>
      <w:pPr>
        <w:pStyle w:val="ListParagraph"/>
        <w:numPr>
          <w:ilvl w:val="0"/>
          <w:numId w:val="2"/>
        </w:numPr>
        <w:spacing w:after="40" w:before="40"/>
      </w:pPr>
      <w:r>
        <w:rPr>
          <w:rFonts w:ascii="Calibri" w:cs="Calibri" w:eastAsia="Calibri" w:hAnsi="Calibri"/>
          <w:color w:val="1E293B"/>
          <w:sz w:val="22"/>
          <w:szCs w:val="22"/>
        </w:rPr>
        <w:t xml:space="preserve">Scheduled import reminder: "You haven't imported Chase transactions in 7 days"</w:t>
      </w:r>
    </w:p>
    <w:p>
      <w:pPr>
        <w:pStyle w:val="ListParagraph"/>
        <w:numPr>
          <w:ilvl w:val="0"/>
          <w:numId w:val="2"/>
        </w:numPr>
        <w:spacing w:after="40" w:before="40"/>
      </w:pPr>
      <w:r>
        <w:rPr>
          <w:rFonts w:ascii="Calibri" w:cs="Calibri" w:eastAsia="Calibri" w:hAnsi="Calibri"/>
          <w:color w:val="1E293B"/>
          <w:sz w:val="22"/>
          <w:szCs w:val="22"/>
        </w:rPr>
        <w:t xml:space="preserve">Bulk multi-file import: drag in 4 CSV files at once</w:t>
      </w:r>
    </w:p>
    <w:p>
      <w:pPr>
        <w:pStyle w:val="ListParagraph"/>
        <w:numPr>
          <w:ilvl w:val="0"/>
          <w:numId w:val="2"/>
        </w:numPr>
        <w:spacing w:after="40" w:before="40"/>
      </w:pPr>
      <w:r>
        <w:rPr>
          <w:rFonts w:ascii="Calibri" w:cs="Calibri" w:eastAsia="Calibri" w:hAnsi="Calibri"/>
          <w:color w:val="1E293B"/>
          <w:sz w:val="22"/>
          <w:szCs w:val="22"/>
        </w:rPr>
        <w:t xml:space="preserve">Email parsing: monitor a dedicated import@ address for bank email notifications</w:t>
      </w:r>
    </w:p>
    <w:p>
      <w:pPr>
        <w:pStyle w:val="Heading3"/>
        <w:spacing w:after="80" w:before="180"/>
      </w:pPr>
      <w:r>
        <w:rPr>
          <w:rFonts w:ascii="Calibri" w:cs="Calibri" w:eastAsia="Calibri" w:hAnsi="Calibri"/>
          <w:b/>
          <w:bCs/>
          <w:color w:val="334155"/>
          <w:sz w:val="24"/>
          <w:szCs w:val="24"/>
        </w:rPr>
        <w:t xml:space="preserve">Assessment</w:t>
      </w:r>
    </w:p>
    <w:p>
      <w:pPr>
        <w:spacing w:after="120" w:before="60"/>
      </w:pPr>
      <w:r>
        <w:rPr>
          <w:rFonts w:ascii="Calibri" w:cs="Calibri" w:eastAsia="Calibri" w:hAnsi="Calibri"/>
          <w:color w:val="1E293B"/>
          <w:sz w:val="22"/>
          <w:szCs w:val="22"/>
        </w:rPr>
        <w:t xml:space="preserve">CSV improvements are low-effort, zero-risk, and additive. They will not satisfy users who want background sync but they significantly improve the experience for users already comfortable with manual workflows. Should be treated as parallel work, not a substitute for sync.</w:t>
      </w:r>
    </w:p>
    <w:p>
      <w:pPr>
        <w:spacing w:after="80" w:before="0"/>
      </w:pPr>
    </w:p>
    <w:p>
      <w:pPr>
        <w:pStyle w:val="Heading1"/>
        <w:spacing w:after="160" w:before="320"/>
      </w:pPr>
      <w:r>
        <w:rPr>
          <w:rFonts w:ascii="Calibri" w:cs="Calibri" w:eastAsia="Calibri" w:hAnsi="Calibri"/>
          <w:b/>
          <w:bCs/>
          <w:color w:val="1E3A5F"/>
          <w:sz w:val="36"/>
          <w:szCs w:val="36"/>
        </w:rPr>
        <w:t xml:space="preserve">3. Privacy Analysis by Option</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80"/>
        <w:gridCol w:w="2580"/>
        <w:gridCol w:w="2600"/>
      </w:tblGrid>
      <w:tr>
        <w:trPr>
          <w:tblHeader/>
        </w:trPr>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Option</w:t>
            </w:r>
          </w:p>
        </w:tc>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Who sees credentials?</w:t>
            </w:r>
          </w:p>
        </w:tc>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Who sees transactions?</w:t>
            </w:r>
          </w:p>
        </w:tc>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Local-first compatible?</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Calibri" w:cs="Calibri" w:eastAsia="Calibri" w:hAnsi="Calibri"/>
                <w:b/>
                <w:bCs/>
                <w:sz w:val="20"/>
                <w:szCs w:val="20"/>
              </w:rPr>
              <w:t xml:space="preserve">Plaid</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sz w:val="20"/>
                <w:szCs w:val="20"/>
              </w:rPr>
              <w:t xml:space="preserve">Plaid servers (OAuth token stored)</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sz w:val="20"/>
                <w:szCs w:val="20"/>
              </w:rPr>
              <w:t xml:space="preserve">Plaid + their analytics partners</w:t>
            </w:r>
          </w:p>
        </w:tc>
        <w:tc>
          <w:tcPr>
            <w:tcBorders>
              <w:top w:val="single" w:color="CBD5E1" w:sz="1"/>
              <w:left w:val="single" w:color="CBD5E1" w:sz="1"/>
              <w:bottom w:val="single" w:color="CBD5E1" w:sz="1"/>
              <w:right w:val="single" w:color="CBD5E1" w:sz="1"/>
            </w:tcBorders>
            <w:shd w:fill="FEF2F2" w:val="clear"/>
            <w:tcMar>
              <w:top w:type="dxa" w:w="100"/>
              <w:left w:type="dxa" w:w="140"/>
              <w:bottom w:type="dxa" w:w="100"/>
              <w:right w:type="dxa" w:w="140"/>
            </w:tcMar>
          </w:tcPr>
          <w:p>
            <w:r>
              <w:rPr>
                <w:rFonts w:ascii="Calibri" w:cs="Calibri" w:eastAsia="Calibri" w:hAnsi="Calibri"/>
                <w:b/>
                <w:bCs/>
                <w:color w:val="9B2335"/>
                <w:sz w:val="20"/>
                <w:szCs w:val="20"/>
              </w:rPr>
              <w:t xml:space="preserve">❌ No</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Calibri" w:cs="Calibri" w:eastAsia="Calibri" w:hAnsi="Calibri"/>
                <w:b/>
                <w:bCs/>
                <w:sz w:val="20"/>
                <w:szCs w:val="20"/>
              </w:rPr>
              <w:t xml:space="preserve">Screen Scraping</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sz w:val="20"/>
                <w:szCs w:val="20"/>
              </w:rPr>
              <w:t xml:space="preserve">The scraping server must store credentials</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sz w:val="20"/>
                <w:szCs w:val="20"/>
              </w:rPr>
              <w:t xml:space="preserve">Scraping server</w:t>
            </w:r>
          </w:p>
        </w:tc>
        <w:tc>
          <w:tcPr>
            <w:tcBorders>
              <w:top w:val="single" w:color="CBD5E1" w:sz="1"/>
              <w:left w:val="single" w:color="CBD5E1" w:sz="1"/>
              <w:bottom w:val="single" w:color="CBD5E1" w:sz="1"/>
              <w:right w:val="single" w:color="CBD5E1" w:sz="1"/>
            </w:tcBorders>
            <w:shd w:fill="FEF2F2" w:val="clear"/>
            <w:tcMar>
              <w:top w:type="dxa" w:w="100"/>
              <w:left w:type="dxa" w:w="140"/>
              <w:bottom w:type="dxa" w:w="100"/>
              <w:right w:type="dxa" w:w="140"/>
            </w:tcMar>
          </w:tcPr>
          <w:p>
            <w:r>
              <w:rPr>
                <w:rFonts w:ascii="Calibri" w:cs="Calibri" w:eastAsia="Calibri" w:hAnsi="Calibri"/>
                <w:b/>
                <w:bCs/>
                <w:color w:val="9B2335"/>
                <w:sz w:val="20"/>
                <w:szCs w:val="20"/>
              </w:rPr>
              <w:t xml:space="preserve">❌ No</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Calibri" w:cs="Calibri" w:eastAsia="Calibri" w:hAnsi="Calibri"/>
                <w:b/>
                <w:bCs/>
                <w:sz w:val="20"/>
                <w:szCs w:val="20"/>
              </w:rPr>
              <w:t xml:space="preserve">Browser Extension</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sz w:val="20"/>
                <w:szCs w:val="20"/>
              </w:rPr>
              <w:t xml:space="preserve">Only the user's bank (user logs in normally)</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sz w:val="20"/>
                <w:szCs w:val="20"/>
              </w:rPr>
              <w:t xml:space="preserve">Only the local app — no server hop</w:t>
            </w:r>
          </w:p>
        </w:tc>
        <w:tc>
          <w:tcPr>
            <w:tcBorders>
              <w:top w:val="single" w:color="CBD5E1" w:sz="1"/>
              <w:left w:val="single" w:color="CBD5E1" w:sz="1"/>
              <w:bottom w:val="single" w:color="CBD5E1" w:sz="1"/>
              <w:right w:val="single" w:color="CBD5E1" w:sz="1"/>
            </w:tcBorders>
            <w:shd w:fill="F0FDF4" w:val="clear"/>
            <w:tcMar>
              <w:top w:type="dxa" w:w="100"/>
              <w:left w:type="dxa" w:w="140"/>
              <w:bottom w:type="dxa" w:w="100"/>
              <w:right w:type="dxa" w:w="140"/>
            </w:tcMar>
          </w:tcPr>
          <w:p>
            <w:r>
              <w:rPr>
                <w:rFonts w:ascii="Calibri" w:cs="Calibri" w:eastAsia="Calibri" w:hAnsi="Calibri"/>
                <w:b/>
                <w:bCs/>
                <w:color w:val="2D6A4F"/>
                <w:sz w:val="20"/>
                <w:szCs w:val="20"/>
              </w:rPr>
              <w:t xml:space="preserve">✅ Yes</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Calibri" w:cs="Calibri" w:eastAsia="Calibri" w:hAnsi="Calibri"/>
                <w:b/>
                <w:bCs/>
                <w:sz w:val="20"/>
                <w:szCs w:val="20"/>
              </w:rPr>
              <w:t xml:space="preserve">OFX / QFX Import</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sz w:val="20"/>
                <w:szCs w:val="20"/>
              </w:rPr>
              <w:t xml:space="preserve">Only the user's bank (manual download)</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sz w:val="20"/>
                <w:szCs w:val="20"/>
              </w:rPr>
              <w:t xml:space="preserve">Only the local app</w:t>
            </w:r>
          </w:p>
        </w:tc>
        <w:tc>
          <w:tcPr>
            <w:tcBorders>
              <w:top w:val="single" w:color="CBD5E1" w:sz="1"/>
              <w:left w:val="single" w:color="CBD5E1" w:sz="1"/>
              <w:bottom w:val="single" w:color="CBD5E1" w:sz="1"/>
              <w:right w:val="single" w:color="CBD5E1" w:sz="1"/>
            </w:tcBorders>
            <w:shd w:fill="F0FDF4" w:val="clear"/>
            <w:tcMar>
              <w:top w:type="dxa" w:w="100"/>
              <w:left w:type="dxa" w:w="140"/>
              <w:bottom w:type="dxa" w:w="100"/>
              <w:right w:type="dxa" w:w="140"/>
            </w:tcMar>
          </w:tcPr>
          <w:p>
            <w:r>
              <w:rPr>
                <w:rFonts w:ascii="Calibri" w:cs="Calibri" w:eastAsia="Calibri" w:hAnsi="Calibri"/>
                <w:b/>
                <w:bCs/>
                <w:color w:val="2D6A4F"/>
                <w:sz w:val="20"/>
                <w:szCs w:val="20"/>
              </w:rPr>
              <w:t xml:space="preserve">✅ Yes</w:t>
            </w:r>
          </w:p>
        </w:tc>
      </w:tr>
    </w:tbl>
    <w:p>
      <w:pPr>
        <w:spacing w:after="80" w:before="0"/>
      </w:pPr>
    </w:p>
    <w:p>
      <w:pPr>
        <w:pStyle w:val="Heading1"/>
        <w:spacing w:after="160" w:before="320"/>
      </w:pPr>
      <w:r>
        <w:rPr>
          <w:rFonts w:ascii="Calibri" w:cs="Calibri" w:eastAsia="Calibri" w:hAnsi="Calibri"/>
          <w:b/>
          <w:bCs/>
          <w:color w:val="1E3A5F"/>
          <w:sz w:val="36"/>
          <w:szCs w:val="36"/>
        </w:rPr>
        <w:t xml:space="preserve">4. Recommended Phased Approach</w:t>
      </w:r>
    </w:p>
    <w:p>
      <w:pPr>
        <w:spacing w:after="0" w:before="0"/>
      </w:pPr>
    </w:p>
    <w:p>
      <w:pPr>
        <w:pStyle w:val="Heading2"/>
        <w:spacing w:after="100" w:before="240"/>
      </w:pPr>
      <w:r>
        <w:rPr>
          <w:rFonts w:ascii="Calibri" w:cs="Calibri" w:eastAsia="Calibri" w:hAnsi="Calibri"/>
          <w:b/>
          <w:bCs/>
          <w:color w:val="334155"/>
          <w:sz w:val="28"/>
          <w:szCs w:val="28"/>
        </w:rPr>
        <w:t xml:space="preserve">Phase 0 — Now (2–3 weeks)</w:t>
      </w:r>
    </w:p>
    <w:p>
      <w:pPr>
        <w:spacing w:after="120" w:before="60"/>
      </w:pPr>
      <w:r>
        <w:rPr>
          <w:rFonts w:ascii="Calibri" w:cs="Calibri" w:eastAsia="Calibri" w:hAnsi="Calibri"/>
          <w:color w:val="1E293B"/>
          <w:sz w:val="22"/>
          <w:szCs w:val="22"/>
        </w:rPr>
        <w:t xml:space="preserve">Ship OFX/QFX import support. This is the fastest path to meaningful friction reduction for existing CSV users. Many banks already support OFX export. Announce it as the first step in a bank connectivity roadmap to set expectations.</w:t>
      </w:r>
    </w:p>
    <w:p>
      <w:pPr>
        <w:pStyle w:val="ListParagraph"/>
        <w:numPr>
          <w:ilvl w:val="0"/>
          <w:numId w:val="2"/>
        </w:numPr>
        <w:spacing w:after="40" w:before="40"/>
      </w:pPr>
      <w:r>
        <w:rPr>
          <w:rFonts w:ascii="Calibri" w:cs="Calibri" w:eastAsia="Calibri" w:hAnsi="Calibri"/>
          <w:color w:val="1E293B"/>
          <w:sz w:val="22"/>
          <w:szCs w:val="22"/>
        </w:rPr>
        <w:t xml:space="preserve">Add OFX/QFX parser to the existing import dialog</w:t>
      </w:r>
    </w:p>
    <w:p>
      <w:pPr>
        <w:pStyle w:val="ListParagraph"/>
        <w:numPr>
          <w:ilvl w:val="0"/>
          <w:numId w:val="2"/>
        </w:numPr>
        <w:spacing w:after="40" w:before="40"/>
      </w:pPr>
      <w:r>
        <w:rPr>
          <w:rFonts w:ascii="Calibri" w:cs="Calibri" w:eastAsia="Calibri" w:hAnsi="Calibri"/>
          <w:color w:val="1E293B"/>
          <w:sz w:val="22"/>
          <w:szCs w:val="22"/>
        </w:rPr>
        <w:t xml:space="preserve">Auto-detect file format (OFX vs QFX vs CSV) on drop</w:t>
      </w:r>
    </w:p>
    <w:p>
      <w:pPr>
        <w:pStyle w:val="ListParagraph"/>
        <w:numPr>
          <w:ilvl w:val="0"/>
          <w:numId w:val="2"/>
        </w:numPr>
        <w:spacing w:after="40" w:before="40"/>
      </w:pPr>
      <w:r>
        <w:rPr>
          <w:rFonts w:ascii="Calibri" w:cs="Calibri" w:eastAsia="Calibri" w:hAnsi="Calibri"/>
          <w:color w:val="1E293B"/>
          <w:sz w:val="22"/>
          <w:szCs w:val="22"/>
        </w:rPr>
        <w:t xml:space="preserve">Document which major banks support OFX export and how to access it</w:t>
      </w:r>
    </w:p>
    <w:p>
      <w:pPr>
        <w:spacing w:after="0" w:before="0"/>
      </w:pPr>
    </w:p>
    <w:p>
      <w:pPr>
        <w:pStyle w:val="Heading2"/>
        <w:spacing w:after="100" w:before="240"/>
      </w:pPr>
      <w:r>
        <w:rPr>
          <w:rFonts w:ascii="Calibri" w:cs="Calibri" w:eastAsia="Calibri" w:hAnsi="Calibri"/>
          <w:b/>
          <w:bCs/>
          <w:color w:val="334155"/>
          <w:sz w:val="28"/>
          <w:szCs w:val="28"/>
        </w:rPr>
        <w:t xml:space="preserve">Phase 1 — Browser Extension (6–10 weeks)</w:t>
      </w:r>
    </w:p>
    <w:p>
      <w:pPr>
        <w:spacing w:after="120" w:before="60"/>
      </w:pPr>
      <w:r>
        <w:rPr>
          <w:rFonts w:ascii="Calibri" w:cs="Calibri" w:eastAsia="Calibri" w:hAnsi="Calibri"/>
          <w:color w:val="1E293B"/>
          <w:sz w:val="22"/>
          <w:szCs w:val="22"/>
        </w:rPr>
        <w:t xml:space="preserve">Build the Pocket Watch Import Bridge — a browser extension that detects bank pages the user visits and offers to send transaction data directly to the desktop app. This is the privacy-safe automation answer.</w:t>
      </w:r>
    </w:p>
    <w:p>
      <w:pPr>
        <w:pStyle w:val="ListParagraph"/>
        <w:numPr>
          <w:ilvl w:val="0"/>
          <w:numId w:val="2"/>
        </w:numPr>
        <w:spacing w:after="40" w:before="40"/>
      </w:pPr>
      <w:r>
        <w:rPr>
          <w:rFonts w:ascii="Calibri" w:cs="Calibri" w:eastAsia="Calibri" w:hAnsi="Calibri"/>
          <w:color w:val="1E293B"/>
          <w:sz w:val="22"/>
          <w:szCs w:val="22"/>
        </w:rPr>
        <w:t xml:space="preserve">Chrome/Edge/Firefox extension with parsers for top 10 US banks (Chase, BofA, Wells, Citi, Capital One, Discover, American Express, Fidelity, Schwab, Vanguard)</w:t>
      </w:r>
    </w:p>
    <w:p>
      <w:pPr>
        <w:pStyle w:val="ListParagraph"/>
        <w:numPr>
          <w:ilvl w:val="0"/>
          <w:numId w:val="2"/>
        </w:numPr>
        <w:spacing w:after="40" w:before="40"/>
      </w:pPr>
      <w:r>
        <w:rPr>
          <w:rFonts w:ascii="Calibri" w:cs="Calibri" w:eastAsia="Calibri" w:hAnsi="Calibri"/>
          <w:color w:val="1E293B"/>
          <w:sz w:val="22"/>
          <w:szCs w:val="22"/>
        </w:rPr>
        <w:t xml:space="preserve">Native messaging host registered by the Tauri app — extension communicates directly over localhost, no internet</w:t>
      </w:r>
    </w:p>
    <w:p>
      <w:pPr>
        <w:pStyle w:val="ListParagraph"/>
        <w:numPr>
          <w:ilvl w:val="0"/>
          <w:numId w:val="2"/>
        </w:numPr>
        <w:spacing w:after="40" w:before="40"/>
      </w:pPr>
      <w:r>
        <w:rPr>
          <w:rFonts w:ascii="Calibri" w:cs="Calibri" w:eastAsia="Calibri" w:hAnsi="Calibri"/>
          <w:color w:val="1E293B"/>
          <w:sz w:val="22"/>
          <w:szCs w:val="22"/>
        </w:rPr>
        <w:t xml:space="preserve">Import review queue in app: user sees extracted transactions before they commit</w:t>
      </w:r>
    </w:p>
    <w:p>
      <w:pPr>
        <w:pStyle w:val="ListParagraph"/>
        <w:numPr>
          <w:ilvl w:val="0"/>
          <w:numId w:val="2"/>
        </w:numPr>
        <w:spacing w:after="40" w:before="40"/>
      </w:pPr>
      <w:r>
        <w:rPr>
          <w:rFonts w:ascii="Calibri" w:cs="Calibri" w:eastAsia="Calibri" w:hAnsi="Calibri"/>
          <w:color w:val="1E293B"/>
          <w:sz w:val="22"/>
          <w:szCs w:val="22"/>
        </w:rPr>
        <w:t xml:space="preserve">Duplicate detection against existing transactions (already built)</w:t>
      </w:r>
    </w:p>
    <w:p>
      <w:pPr>
        <w:pStyle w:val="ListParagraph"/>
        <w:numPr>
          <w:ilvl w:val="0"/>
          <w:numId w:val="2"/>
        </w:numPr>
        <w:spacing w:after="40" w:before="40"/>
      </w:pPr>
      <w:r>
        <w:rPr>
          <w:rFonts w:ascii="Calibri" w:cs="Calibri" w:eastAsia="Calibri" w:hAnsi="Calibri"/>
          <w:color w:val="1E293B"/>
          <w:sz w:val="22"/>
          <w:szCs w:val="22"/>
        </w:rPr>
        <w:t xml:space="preserve">Open-source the extension parsers on GitHub — community can add bank support</w:t>
      </w:r>
    </w:p>
    <w:p>
      <w:pPr>
        <w:spacing w:after="0" w:before="0"/>
      </w:pPr>
    </w:p>
    <w:p>
      <w:pPr>
        <w:pStyle w:val="Heading2"/>
        <w:spacing w:after="100" w:before="240"/>
      </w:pPr>
      <w:r>
        <w:rPr>
          <w:rFonts w:ascii="Calibri" w:cs="Calibri" w:eastAsia="Calibri" w:hAnsi="Calibri"/>
          <w:b/>
          <w:bCs/>
          <w:color w:val="334155"/>
          <w:sz w:val="28"/>
          <w:szCs w:val="28"/>
        </w:rPr>
        <w:t xml:space="preserve">Phase 2 — Plaid (Opt-In Only, evaluate at 12 months)</w:t>
      </w:r>
    </w:p>
    <w:p>
      <w:pPr>
        <w:spacing w:after="120" w:before="60"/>
      </w:pPr>
      <w:r>
        <w:rPr>
          <w:rFonts w:ascii="Calibri" w:cs="Calibri" w:eastAsia="Calibri" w:hAnsi="Calibri"/>
          <w:color w:val="1E293B"/>
          <w:sz w:val="22"/>
          <w:szCs w:val="22"/>
        </w:rPr>
        <w:t xml:space="preserve">After Phase 1 ships, measure: what percentage of users enable the extension? What banks are most requested that the extension doesn't cover? If there is clear demand for fully automated background sync that users are willing to make the privacy trade for, introduce Plaid as an explicitly opt-in feature with a prominent disclosure screen.</w:t>
      </w:r>
    </w:p>
    <w:p>
      <w:pPr>
        <w:pStyle w:val="ListParagraph"/>
        <w:numPr>
          <w:ilvl w:val="0"/>
          <w:numId w:val="2"/>
        </w:numPr>
        <w:spacing w:after="40" w:before="40"/>
      </w:pPr>
      <w:r>
        <w:rPr>
          <w:rFonts w:ascii="Calibri" w:cs="Calibri" w:eastAsia="Calibri" w:hAnsi="Calibri"/>
          <w:color w:val="1E293B"/>
          <w:sz w:val="22"/>
          <w:szCs w:val="22"/>
        </w:rPr>
        <w:t xml:space="preserve">The disclosure screen must explicitly state: "This sends your transaction data to Plaid's servers. This is the only feature in Pocket Watch that involves a third-party service."</w:t>
      </w:r>
    </w:p>
    <w:p>
      <w:pPr>
        <w:pStyle w:val="ListParagraph"/>
        <w:numPr>
          <w:ilvl w:val="0"/>
          <w:numId w:val="2"/>
        </w:numPr>
        <w:spacing w:after="40" w:before="40"/>
      </w:pPr>
      <w:r>
        <w:rPr>
          <w:rFonts w:ascii="Calibri" w:cs="Calibri" w:eastAsia="Calibri" w:hAnsi="Calibri"/>
          <w:color w:val="1E293B"/>
          <w:sz w:val="22"/>
          <w:szCs w:val="22"/>
        </w:rPr>
        <w:t xml:space="preserve">Plaid integration must be entirely optional — the app must function fully without it</w:t>
      </w:r>
    </w:p>
    <w:p>
      <w:pPr>
        <w:pStyle w:val="ListParagraph"/>
        <w:numPr>
          <w:ilvl w:val="0"/>
          <w:numId w:val="2"/>
        </w:numPr>
        <w:spacing w:after="40" w:before="40"/>
      </w:pPr>
      <w:r>
        <w:rPr>
          <w:rFonts w:ascii="Calibri" w:cs="Calibri" w:eastAsia="Calibri" w:hAnsi="Calibri"/>
          <w:color w:val="1E293B"/>
          <w:sz w:val="22"/>
          <w:szCs w:val="22"/>
        </w:rPr>
        <w:t xml:space="preserve">Consider a separate pricing tier if Plaid production costs make the economics necessary</w:t>
      </w:r>
    </w:p>
    <w:p>
      <w:pPr>
        <w:pStyle w:val="ListParagraph"/>
        <w:numPr>
          <w:ilvl w:val="0"/>
          <w:numId w:val="2"/>
        </w:numPr>
        <w:spacing w:after="40" w:before="40"/>
      </w:pPr>
      <w:r>
        <w:rPr>
          <w:rFonts w:ascii="Calibri" w:cs="Calibri" w:eastAsia="Calibri" w:hAnsi="Calibri"/>
          <w:color w:val="1E293B"/>
          <w:sz w:val="22"/>
          <w:szCs w:val="22"/>
        </w:rPr>
        <w:t xml:space="preserve">Do not ship Plaid if Phase 1 extension adoption is strong — the privacy cost is not worth it if users are satisfied</w:t>
      </w:r>
    </w:p>
    <w:p>
      <w:pPr>
        <w:spacing w:after="80" w:before="0"/>
      </w:pPr>
    </w:p>
    <w:p>
      <w:pPr>
        <w:pStyle w:val="Heading1"/>
        <w:spacing w:after="160" w:before="320"/>
      </w:pPr>
      <w:r>
        <w:rPr>
          <w:rFonts w:ascii="Calibri" w:cs="Calibri" w:eastAsia="Calibri" w:hAnsi="Calibri"/>
          <w:b/>
          <w:bCs/>
          <w:color w:val="1E3A5F"/>
          <w:sz w:val="36"/>
          <w:szCs w:val="36"/>
        </w:rPr>
        <w:t xml:space="preserve">5. Risk Register</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60"/>
        <w:gridCol w:w="1200"/>
        <w:gridCol w:w="3200"/>
      </w:tblGrid>
      <w:tr>
        <w:trPr>
          <w:tblHeader/>
        </w:trPr>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Risk</w:t>
            </w:r>
          </w:p>
        </w:tc>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Likelihood</w:t>
            </w:r>
          </w:p>
        </w:tc>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Mitigation</w:t>
            </w:r>
          </w:p>
        </w:tc>
      </w:tr>
      <w:tr>
        <w:tc>
          <w:tcPr>
            <w:tcBorders>
              <w:top w:val="single" w:color="CBD5E1" w:sz="1"/>
              <w:left w:val="single" w:color="CBD5E1" w:sz="1"/>
              <w:bottom w:val="single" w:color="CBD5E1" w:sz="1"/>
              <w:right w:val="single" w:color="CBD5E1" w:sz="1"/>
            </w:tcBorders>
            <w:shd w:fill="FEF2F2" w:val="clear"/>
            <w:tcMar>
              <w:top w:type="dxa" w:w="100"/>
              <w:left w:type="dxa" w:w="140"/>
              <w:bottom w:type="dxa" w:w="100"/>
              <w:right w:type="dxa" w:w="140"/>
            </w:tcMar>
          </w:tcPr>
          <w:p>
            <w:r>
              <w:rPr>
                <w:rFonts w:ascii="Calibri" w:cs="Calibri" w:eastAsia="Calibri" w:hAnsi="Calibri"/>
                <w:b/>
                <w:bCs/>
                <w:sz w:val="20"/>
                <w:szCs w:val="20"/>
              </w:rPr>
              <w:t xml:space="preserve">Bank DOM changes break extension</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sz w:val="20"/>
                <w:szCs w:val="20"/>
              </w:rPr>
              <w:t xml:space="preserve">Banks update their web UI, breaking the extension parser for that bank</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sz w:val="20"/>
                <w:szCs w:val="20"/>
              </w:rPr>
              <w:t xml:space="preserve">High (ongoing)</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sz w:val="20"/>
                <w:szCs w:val="20"/>
              </w:rPr>
              <w:t xml:space="preserve">Open-source parsers so community can fix quickly. Alert users when a parser is stale.</w:t>
            </w:r>
          </w:p>
        </w:tc>
      </w:tr>
      <w:tr>
        <w:tc>
          <w:tcPr>
            <w:tcBorders>
              <w:top w:val="single" w:color="CBD5E1" w:sz="1"/>
              <w:left w:val="single" w:color="CBD5E1" w:sz="1"/>
              <w:bottom w:val="single" w:color="CBD5E1" w:sz="1"/>
              <w:right w:val="single" w:color="CBD5E1" w:sz="1"/>
            </w:tcBorders>
            <w:shd w:fill="FEF2F2" w:val="clear"/>
            <w:tcMar>
              <w:top w:type="dxa" w:w="100"/>
              <w:left w:type="dxa" w:w="140"/>
              <w:bottom w:type="dxa" w:w="100"/>
              <w:right w:type="dxa" w:w="140"/>
            </w:tcMar>
          </w:tcPr>
          <w:p>
            <w:r>
              <w:rPr>
                <w:rFonts w:ascii="Calibri" w:cs="Calibri" w:eastAsia="Calibri" w:hAnsi="Calibri"/>
                <w:b/>
                <w:bCs/>
                <w:sz w:val="20"/>
                <w:szCs w:val="20"/>
              </w:rPr>
              <w:t xml:space="preserve">Extension store rejection</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sz w:val="20"/>
                <w:szCs w:val="20"/>
              </w:rPr>
              <w:t xml:space="preserve">Chrome/Edge Web Store rejects extension for policy reasons (financial data access)</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sz w:val="20"/>
                <w:szCs w:val="20"/>
              </w:rPr>
              <w:t xml:space="preserve">Medium</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sz w:val="20"/>
                <w:szCs w:val="20"/>
              </w:rPr>
              <w:t xml:space="preserve">Provide sideload option for power users. Frame extension as a "page reader" not a financial data harvester.</w:t>
            </w:r>
          </w:p>
        </w:tc>
      </w:tr>
      <w:tr>
        <w:tc>
          <w:tcPr>
            <w:tcBorders>
              <w:top w:val="single" w:color="CBD5E1" w:sz="1"/>
              <w:left w:val="single" w:color="CBD5E1" w:sz="1"/>
              <w:bottom w:val="single" w:color="CBD5E1" w:sz="1"/>
              <w:right w:val="single" w:color="CBD5E1" w:sz="1"/>
            </w:tcBorders>
            <w:shd w:fill="FEF2F2" w:val="clear"/>
            <w:tcMar>
              <w:top w:type="dxa" w:w="100"/>
              <w:left w:type="dxa" w:w="140"/>
              <w:bottom w:type="dxa" w:w="100"/>
              <w:right w:type="dxa" w:w="140"/>
            </w:tcMar>
          </w:tcPr>
          <w:p>
            <w:r>
              <w:rPr>
                <w:rFonts w:ascii="Calibri" w:cs="Calibri" w:eastAsia="Calibri" w:hAnsi="Calibri"/>
                <w:b/>
                <w:bCs/>
                <w:sz w:val="20"/>
                <w:szCs w:val="20"/>
              </w:rPr>
              <w:t xml:space="preserve">User perception of sync = not private</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sz w:val="20"/>
                <w:szCs w:val="20"/>
              </w:rPr>
              <w:t xml:space="preserve">Privacy-focused users distrust any sync feature even if technically local</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sz w:val="20"/>
                <w:szCs w:val="20"/>
              </w:rPr>
              <w:t xml:space="preserve">Medium</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sz w:val="20"/>
                <w:szCs w:val="20"/>
              </w:rPr>
              <w:t xml:space="preserve">Publish open-source code, provide technical architecture diagram showing the data path</w:t>
            </w:r>
          </w:p>
        </w:tc>
      </w:tr>
      <w:tr>
        <w:tc>
          <w:tcPr>
            <w:tcBorders>
              <w:top w:val="single" w:color="CBD5E1" w:sz="1"/>
              <w:left w:val="single" w:color="CBD5E1" w:sz="1"/>
              <w:bottom w:val="single" w:color="CBD5E1" w:sz="1"/>
              <w:right w:val="single" w:color="CBD5E1" w:sz="1"/>
            </w:tcBorders>
            <w:shd w:fill="FEF8E8" w:val="clear"/>
            <w:tcMar>
              <w:top w:type="dxa" w:w="100"/>
              <w:left w:type="dxa" w:w="140"/>
              <w:bottom w:type="dxa" w:w="100"/>
              <w:right w:type="dxa" w:w="140"/>
            </w:tcMar>
          </w:tcPr>
          <w:p>
            <w:r>
              <w:rPr>
                <w:rFonts w:ascii="Calibri" w:cs="Calibri" w:eastAsia="Calibri" w:hAnsi="Calibri"/>
                <w:b/>
                <w:bCs/>
                <w:sz w:val="20"/>
                <w:szCs w:val="20"/>
              </w:rPr>
              <w:t xml:space="preserve">Plaid pricing escalation</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sz w:val="20"/>
                <w:szCs w:val="20"/>
              </w:rPr>
              <w:t xml:space="preserve">If Plaid is adopted, per-call costs can make the product uneconomical at scale</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sz w:val="20"/>
                <w:szCs w:val="20"/>
              </w:rPr>
              <w:t xml:space="preserve">Medium (if Plaid chosen)</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sz w:val="20"/>
                <w:szCs w:val="20"/>
              </w:rPr>
              <w:t xml:space="preserve">Cap sync frequency. Treat Plaid as a paid add-on from day one to separate costs.</w:t>
            </w:r>
          </w:p>
        </w:tc>
      </w:tr>
    </w:tbl>
    <w:p>
      <w:pPr>
        <w:spacing w:after="80" w:before="0"/>
      </w:pPr>
    </w:p>
    <w:p>
      <w:pPr>
        <w:pStyle w:val="Heading1"/>
        <w:spacing w:after="160" w:before="320"/>
      </w:pPr>
      <w:r>
        <w:rPr>
          <w:rFonts w:ascii="Calibri" w:cs="Calibri" w:eastAsia="Calibri" w:hAnsi="Calibri"/>
          <w:b/>
          <w:bCs/>
          <w:color w:val="1E3A5F"/>
          <w:sz w:val="36"/>
          <w:szCs w:val="36"/>
        </w:rPr>
        <w:t xml:space="preserve">6. Decision Framework</w:t>
      </w:r>
    </w:p>
    <w:p>
      <w:pPr>
        <w:spacing w:after="120" w:before="60"/>
      </w:pPr>
      <w:r>
        <w:rPr>
          <w:rFonts w:ascii="Calibri" w:cs="Calibri" w:eastAsia="Calibri" w:hAnsi="Calibri"/>
          <w:color w:val="1E293B"/>
          <w:sz w:val="22"/>
          <w:szCs w:val="22"/>
        </w:rPr>
        <w:t xml:space="preserve">Use this framework when evaluating any future sync proposal:</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Gate question</w:t>
            </w:r>
          </w:p>
        </w:tc>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Required answer to proceed</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Calibri" w:cs="Calibri" w:eastAsia="Calibri" w:hAnsi="Calibri"/>
                <w:sz w:val="20"/>
                <w:szCs w:val="20"/>
              </w:rPr>
              <w:t xml:space="preserve">Does financial data leave the user's machine?</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i/>
                <w:iCs/>
                <w:sz w:val="20"/>
                <w:szCs w:val="20"/>
              </w:rPr>
              <w:t xml:space="preserve">Must be No, or explicitly opt-in with prominent disclosure</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Calibri" w:cs="Calibri" w:eastAsia="Calibri" w:hAnsi="Calibri"/>
                <w:sz w:val="20"/>
                <w:szCs w:val="20"/>
              </w:rPr>
              <w:t xml:space="preserve">Do third parties store credentials or tokens?</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i/>
                <w:iCs/>
                <w:sz w:val="20"/>
                <w:szCs w:val="20"/>
              </w:rPr>
              <w:t xml:space="preserve">Must be No for any default feature</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Calibri" w:cs="Calibri" w:eastAsia="Calibri" w:hAnsi="Calibri"/>
                <w:sz w:val="20"/>
                <w:szCs w:val="20"/>
              </w:rPr>
              <w:t xml:space="preserve">Can the app function fully without this feature?</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i/>
                <w:iCs/>
                <w:sz w:val="20"/>
                <w:szCs w:val="20"/>
              </w:rPr>
              <w:t xml:space="preserve">Must be Yes — sync is additive, never required</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Calibri" w:cs="Calibri" w:eastAsia="Calibri" w:hAnsi="Calibri"/>
                <w:sz w:val="20"/>
                <w:szCs w:val="20"/>
              </w:rPr>
              <w:t xml:space="preserve">Is the implementation open-source and auditable?</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i/>
                <w:iCs/>
                <w:sz w:val="20"/>
                <w:szCs w:val="20"/>
              </w:rPr>
              <w:t xml:space="preserve">Strongly preferred — builds trust with target audience</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Calibri" w:cs="Calibri" w:eastAsia="Calibri" w:hAnsi="Calibri"/>
                <w:sz w:val="20"/>
                <w:szCs w:val="20"/>
              </w:rPr>
              <w:t xml:space="preserve">Is the privacy cost worth the convenience gain?</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i/>
                <w:iCs/>
                <w:sz w:val="20"/>
                <w:szCs w:val="20"/>
              </w:rPr>
              <w:t xml:space="preserve">User research required before launch</w:t>
            </w:r>
          </w:p>
        </w:tc>
      </w:tr>
    </w:tbl>
    <w:p>
      <w:pPr>
        <w:spacing w:after="160" w:before="0"/>
      </w:pPr>
    </w:p>
    <w:p>
      <w:pPr>
        <w:pStyle w:val="Heading1"/>
        <w:spacing w:after="160" w:before="320"/>
      </w:pPr>
      <w:r>
        <w:rPr>
          <w:rFonts w:ascii="Calibri" w:cs="Calibri" w:eastAsia="Calibri" w:hAnsi="Calibri"/>
          <w:b/>
          <w:bCs/>
          <w:color w:val="1E3A5F"/>
          <w:sz w:val="36"/>
          <w:szCs w:val="36"/>
        </w:rPr>
        <w:t xml:space="preserve">7. Summary &amp; Next Steps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040"/>
        <w:gridCol w:w="2880"/>
      </w:tblGrid>
      <w:tr>
        <w:trPr>
          <w:tblHeader/>
        </w:trPr>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Phase</w:t>
            </w:r>
          </w:p>
        </w:tc>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Action</w:t>
            </w:r>
          </w:p>
        </w:tc>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Timeline</w:t>
            </w:r>
          </w:p>
        </w:tc>
      </w:tr>
      <w:tr>
        <w:tc>
          <w:tcPr>
            <w:tcBorders>
              <w:top w:val="single" w:color="CBD5E1" w:sz="1"/>
              <w:left w:val="single" w:color="CBD5E1" w:sz="1"/>
              <w:bottom w:val="single" w:color="CBD5E1" w:sz="1"/>
              <w:right w:val="single" w:color="CBD5E1" w:sz="1"/>
            </w:tcBorders>
            <w:shd w:fill="F0FDF4" w:val="clear"/>
            <w:tcMar>
              <w:top w:type="dxa" w:w="100"/>
              <w:left w:type="dxa" w:w="140"/>
              <w:bottom w:type="dxa" w:w="100"/>
              <w:right w:type="dxa" w:w="140"/>
            </w:tcMar>
          </w:tcPr>
          <w:p>
            <w:r>
              <w:rPr>
                <w:rFonts w:ascii="Calibri" w:cs="Calibri" w:eastAsia="Calibri" w:hAnsi="Calibri"/>
                <w:b/>
                <w:bCs/>
                <w:color w:val="2D6A4F"/>
                <w:sz w:val="20"/>
                <w:szCs w:val="20"/>
              </w:rPr>
              <w:t xml:space="preserve">Now</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sz w:val="20"/>
                <w:szCs w:val="20"/>
              </w:rPr>
              <w:t xml:space="preserve">Add OFX/QFX file import support alongside existing CSV importer</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sz w:val="20"/>
                <w:szCs w:val="20"/>
              </w:rPr>
              <w:t xml:space="preserve">2–3 weeks</w:t>
            </w:r>
          </w:p>
        </w:tc>
      </w:tr>
      <w:tr>
        <w:tc>
          <w:tcPr>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r>
              <w:rPr>
                <w:rFonts w:ascii="Calibri" w:cs="Calibri" w:eastAsia="Calibri" w:hAnsi="Calibri"/>
                <w:b/>
                <w:bCs/>
                <w:color w:val="1E3A5F"/>
                <w:sz w:val="20"/>
                <w:szCs w:val="20"/>
              </w:rPr>
              <w:t xml:space="preserve">Phase 1</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sz w:val="20"/>
                <w:szCs w:val="20"/>
              </w:rPr>
              <w:t xml:space="preserve">Build browser extension for top 10 US banks — privacy-safe, no server</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sz w:val="20"/>
                <w:szCs w:val="20"/>
              </w:rPr>
              <w:t xml:space="preserve">6–10 weeks</w:t>
            </w:r>
          </w:p>
        </w:tc>
      </w:tr>
      <w:tr>
        <w:tc>
          <w:tcPr>
            <w:tcBorders>
              <w:top w:val="single" w:color="CBD5E1" w:sz="1"/>
              <w:left w:val="single" w:color="CBD5E1" w:sz="1"/>
              <w:bottom w:val="single" w:color="CBD5E1" w:sz="1"/>
              <w:right w:val="single" w:color="CBD5E1" w:sz="1"/>
            </w:tcBorders>
            <w:shd w:fill="FFFBEB" w:val="clear"/>
            <w:tcMar>
              <w:top w:type="dxa" w:w="100"/>
              <w:left w:type="dxa" w:w="140"/>
              <w:bottom w:type="dxa" w:w="100"/>
              <w:right w:type="dxa" w:w="140"/>
            </w:tcMar>
          </w:tcPr>
          <w:p>
            <w:r>
              <w:rPr>
                <w:rFonts w:ascii="Calibri" w:cs="Calibri" w:eastAsia="Calibri" w:hAnsi="Calibri"/>
                <w:b/>
                <w:bCs/>
                <w:color w:val="B45309"/>
                <w:sz w:val="20"/>
                <w:szCs w:val="20"/>
              </w:rPr>
              <w:t xml:space="preserve">Phase 2</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sz w:val="20"/>
                <w:szCs w:val="20"/>
              </w:rPr>
              <w:t xml:space="preserve">Evaluate Plaid as explicit opt-in only if extension adoption is insufficient</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sz w:val="20"/>
                <w:szCs w:val="20"/>
              </w:rPr>
              <w:t xml:space="preserve">Re-evaluate at 12 months post-Phase 1</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Calibri" w:cs="Calibri" w:eastAsia="Calibri" w:hAnsi="Calibri"/>
                <w:b/>
                <w:bCs/>
                <w:sz w:val="20"/>
                <w:szCs w:val="20"/>
              </w:rPr>
              <w:t xml:space="preserve">Ongoing</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sz w:val="20"/>
                <w:szCs w:val="20"/>
              </w:rPr>
              <w:t xml:space="preserve">CSV import improvements: multi-file drop, bank auto-detect, import reminders</w:t>
            </w:r>
          </w:p>
        </w:tc>
        <w:tc>
          <w:tcPr>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sz w:val="20"/>
                <w:szCs w:val="20"/>
              </w:rPr>
              <w:t xml:space="preserve">Parallel track</w:t>
            </w:r>
          </w:p>
        </w:tc>
      </w:tr>
    </w:tbl>
    <w:p>
      <w:pPr>
        <w:spacing w:after="160" w:before="0"/>
      </w:pPr>
    </w:p>
    <w:p>
      <w:pPr>
        <w:pBdr>
          <w:left w:val="single" w:color="1E3A5F" w:sz="24"/>
        </w:pBdr>
        <w:spacing w:after="120" w:before="120"/>
        <w:ind w:left="360"/>
      </w:pPr>
      <w:r>
        <w:rPr>
          <w:rFonts w:ascii="Calibri" w:cs="Calibri" w:eastAsia="Calibri" w:hAnsi="Calibri"/>
          <w:i/>
          <w:iCs/>
          <w:color w:val="334155"/>
          <w:sz w:val="21"/>
          <w:szCs w:val="21"/>
        </w:rPr>
        <w:t xml:space="preserve">The privacy-first identity is Pocket Watch's most defensible competitive advantage. Bank sync should enhance that story — "your bank data flows directly to your app, bypassing every server on the planet" — not compromise it. Phase 1 makes that headline possible.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pBdr>
      <w:tabs>
        <w:tab w:val="right" w:pos="9026"/>
      </w:tabs>
    </w:pPr>
    <w:r>
      <w:rPr>
        <w:rFonts w:ascii="Calibri" w:cs="Calibri" w:eastAsia="Calibri" w:hAnsi="Calibri"/>
        <w:color w:val="94A3B8"/>
        <w:sz w:val="18"/>
        <w:szCs w:val="18"/>
      </w:rPr>
      <w:t xml:space="preserve">Pocket Watch Product Team</w:t>
    </w:r>
    <w:r>
      <w:rPr>
        <w:sz w:val="18"/>
        <w:szCs w:val="18"/>
      </w:rPr>
      <w:t xml:space="preserve">	</w:t>
    </w:r>
    <w:r>
      <w:rPr>
        <w:rFonts w:ascii="Calibri" w:cs="Calibri" w:eastAsia="Calibri" w:hAnsi="Calibri"/>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6"/>
      </w:pBdr>
      <w:tabs>
        <w:tab w:val="right" w:pos="9026"/>
      </w:tabs>
    </w:pPr>
    <w:r>
      <w:rPr>
        <w:rFonts w:ascii="Calibri" w:cs="Calibri" w:eastAsia="Calibri" w:hAnsi="Calibri"/>
        <w:color w:val="94A3B8"/>
        <w:sz w:val="18"/>
        <w:szCs w:val="18"/>
      </w:rPr>
      <w:t xml:space="preserve">Pocket Watch — Bank Sync Strategic Analysis</w:t>
    </w:r>
    <w:r>
      <w:rPr>
        <w:sz w:val="18"/>
        <w:szCs w:val="18"/>
      </w:rPr>
      <w:t xml:space="preserve">	</w:t>
    </w:r>
    <w:r>
      <w:rPr>
        <w:rFonts w:ascii="Calibri" w:cs="Calibri" w:eastAsia="Calibri" w:hAnsi="Calibri"/>
        <w:color w:val="94A3B8"/>
        <w:sz w:val="18"/>
        <w:szCs w:val="18"/>
      </w:rPr>
      <w:t xml:space="preserve">Confidential · Product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E3A5F"/>
      <w:sz w:val="36"/>
      <w:szCs w:val="36"/>
    </w:rPr>
  </w:style>
  <w:style w:type="paragraph" w:styleId="Heading2">
    <w:name w:val="Heading 2"/>
    <w:basedOn w:val="Normal"/>
    <w:next w:val="Normal"/>
    <w:qFormat/>
    <w:pPr>
      <w:spacing w:after="100" w:before="240"/>
      <w:outlineLvl w:val="1"/>
    </w:pPr>
    <w:rPr>
      <w:rFonts w:ascii="Calibri" w:cs="Calibri" w:eastAsia="Calibri" w:hAnsi="Calibri"/>
      <w:b/>
      <w:bCs/>
      <w:color w:val="334155"/>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2026-05-26T23:32:34.571Z</dcterms:created>
  <dcterms:modified xsi:type="dcterms:W3CDTF">2026-05-26T23:32:34.571Z</dcterms:modified>
</cp:coreProperties>
</file>

<file path=docProps/custom.xml><?xml version="1.0" encoding="utf-8"?>
<Properties xmlns="http://schemas.openxmlformats.org/officeDocument/2006/custom-properties" xmlns:vt="http://schemas.openxmlformats.org/officeDocument/2006/docPropsVTypes"/>
</file>