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1200" cy="711200"/>
            <wp:effectExtent b="0" l="0" r="0" t="0"/>
            <wp:docPr descr="1b76cd8f1-dddb-40fd-a970-644a9fd6705f.png" id="1" name="image1.png"/>
            <a:graphic>
              <a:graphicData uri="http://schemas.openxmlformats.org/drawingml/2006/picture">
                <pic:pic>
                  <pic:nvPicPr>
                    <pic:cNvPr descr="1b76cd8f1-dddb-40fd-a970-644a9fd6705f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7162a" w:space="0" w:sz="12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40" w:lineRule="auto"/>
        <w:jc w:val="center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Polityka prywatności strony internetowej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40" w:lineRule="auto"/>
        <w:jc w:val="center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Women Up! Inicjatywa Społeczna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1. Informacje ogólne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Administratorem danych osobowych jest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Stowarzyszenie Women Up! Inicjatywa Społeczna</w:t>
      </w: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 (dalej: „Administrator”).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Kontakt z Administratorem: </w:t>
        <w:br w:type="textWrapping"/>
        <w:t xml:space="preserve"> e-mail: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womenup.inicjatywaspoleczna@gmail.com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osobowe są przetwarzane zgodnie z Rozporządzeniem Parlamentu Europejskiego i Rady (UE) 2016/679 (RODO).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2. Zakres i sposób zbierania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mogą być zbierane poprzez: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formularze kontaktowe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formularze zapisów na wydarzenia / warsztaty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zapis do newslettera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kontakt mailowy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Administrator może przetwarzać następujące dane: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imię i nazwisko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adres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numer telefonu (jeśli podany)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inne dane przekazane dobrowolnie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3. Cele przetwarzania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są przetwarzane w celu: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odpowiedzi na zapytania przesłane przez formularz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organizacji wydarzeń i obsługi zapisów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komunikacji z uczestnikami inicjatyw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wysyłki newslettera (za zgodą użytkownika)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prowadzenia działań statutowych Stowarzyszenia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4. Podstawy prawne przetwarzania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przetwarzane są na podstawie: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zgody użytkownika (art. 6 ust. 1 lit. a RODO)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niezbędności do podjęcia działań na żądanie osoby (lit.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uzasadnionego interesu Administratora (lit.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5. Pliki cookies i technologie śledzące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Strona może wykorzystywać pliki cookies w celu: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zapewnienia prawidłowego działania strony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analizy ruchu na stronie (np. statystyki odwiedzin)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poprawy funkcjonalności i bezpieczeństwa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Cookies mogą być wykorzystywane przez narzędzia zewnętrzne, np.: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Google Analytics (analiza ruchu)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narzędzia do obsługi formularzy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Użytkownik może w każdej chwili zmienić ustawienia cookies w swojej przeglądarce.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6. Odbiorcy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mogą być przekazywane podmiotom wspierającym Administratora, takim jak: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dostawcy hostingu strony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dostawcy narzędzi do obsługi formularzy i newsletterów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podmioty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nie są sprzedawane ani udostępniane podmiotom nieuprawnionym.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7. Okres przechowywania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Dane przechowywane są: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przez czas niezbędny do realizacji celu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do momentu wycofania zgody (jeśli dotyczy)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przez okres wymagany przepisami prawa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8. Prawa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Użytkownik ma prawo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dostępu do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sprostowania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usunięcia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ograniczenia przetwarzania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wniesienia sprzeciwu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przenoszenia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331" w:lineRule="auto"/>
        <w:ind w:left="400" w:hanging="36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cofnięcia zgody w dowolnym momencie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W celu realizacji praw należy skontaktować się mailowo: </w:t>
        <w:br w:type="textWrapping"/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womenup.inicjatywaspoleczna@gmail.com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9. Zabezpieczenia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Administrator stosuje środki techniczne i organizacyjne zapewniające ochronę przetwarzanych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10. Zmiany polityki prywatności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Polityka może być aktualizowana. Aktualna wersja zawsze będzie dostępna na stronie internetowej.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11. Data obowiązywania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1" w:lineRule="auto"/>
        <w:ind w:left="0" w:firstLine="0"/>
        <w:rPr/>
      </w:pPr>
      <w:r w:rsidDel="00000000" w:rsidR="00000000" w:rsidRPr="00000000">
        <w:rPr>
          <w:rFonts w:ascii="Poppins" w:cs="Poppins" w:eastAsia="Poppins" w:hAnsi="Poppins"/>
          <w:color w:val="000000"/>
          <w:rtl w:val="0"/>
        </w:rPr>
        <w:t xml:space="preserve">Polityka obowiązuje od dnia 10.04.2026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 </w:t>
        <w:br w:type="textWrapping"/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6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26"/>
        <w:gridCol w:w="6"/>
        <w:gridCol w:w="5497"/>
        <w:tblGridChange w:id="0">
          <w:tblGrid>
            <w:gridCol w:w="3526"/>
            <w:gridCol w:w="6"/>
            <w:gridCol w:w="5497"/>
          </w:tblGrid>
        </w:tblGridChange>
      </w:tblGrid>
      <w:tr>
        <w:trPr>
          <w:cantSplit w:val="0"/>
          <w:tblHeader w:val="0"/>
        </w:trPr>
        <w:tc>
          <w:tcPr>
            <w:shd w:fill="c7162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7162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374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20" w:before="120" w:line="374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0ea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312" w:lineRule="auto"/>
              <w:ind w:left="0" w:firstLine="0"/>
              <w:rPr/>
            </w:pPr>
            <w:r w:rsidDel="00000000" w:rsidR="00000000" w:rsidRPr="00000000">
              <w:rPr>
                <w:rFonts w:ascii="Bricolage Grotesque" w:cs="Bricolage Grotesque" w:eastAsia="Bricolage Grotesque" w:hAnsi="Bricolage Grotesque"/>
                <w:b w:val="1"/>
                <w:bCs w:val="1"/>
                <w:color w:val="c7162a"/>
                <w:sz w:val="20"/>
                <w:szCs w:val="20"/>
                <w:rtl w:val="0"/>
              </w:rPr>
              <w:t xml:space="preserve">Kontakt: </w:t>
              <w:br w:type="textWrapping"/>
            </w:r>
            <w:r w:rsidDel="00000000" w:rsidR="00000000" w:rsidRPr="00000000">
              <w:rPr>
                <w:rFonts w:ascii="Bricolage Grotesque" w:cs="Bricolage Grotesque" w:eastAsia="Bricolage Grotesque" w:hAnsi="Bricolage Grotesque"/>
                <w:color w:val="c7162a"/>
                <w:sz w:val="21"/>
                <w:szCs w:val="21"/>
                <w:rtl w:val="0"/>
              </w:rPr>
              <w:t xml:space="preserve">+48 533 874 086</w:t>
            </w:r>
            <w:r w:rsidDel="00000000" w:rsidR="00000000" w:rsidRPr="00000000">
              <w:rPr>
                <w:rFonts w:ascii="Bricolage Grotesque" w:cs="Bricolage Grotesque" w:eastAsia="Bricolage Grotesque" w:hAnsi="Bricolage Grotesque"/>
                <w:color w:val="c7162a"/>
                <w:sz w:val="20"/>
                <w:szCs w:val="20"/>
                <w:rtl w:val="0"/>
              </w:rPr>
              <w:t xml:space="preserve"> </w:t>
              <w:br w:type="textWrapping"/>
            </w:r>
            <w:hyperlink r:id="rId8">
              <w:r w:rsidDel="00000000" w:rsidR="00000000" w:rsidRPr="00000000">
                <w:rPr>
                  <w:rFonts w:ascii="Bricolage Grotesque" w:cs="Bricolage Grotesque" w:eastAsia="Bricolage Grotesque" w:hAnsi="Bricolage Grotesque"/>
                  <w:color w:val="c7162a"/>
                  <w:sz w:val="20"/>
                  <w:szCs w:val="20"/>
                  <w:rtl w:val="0"/>
                </w:rPr>
                <w:t xml:space="preserve">womenup.inicjatywaspoleczna@gmail.com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20" w:before="120" w:line="374" w:lineRule="auto"/>
              <w:ind w:left="0" w:firstLine="0"/>
              <w:rPr/>
            </w:pPr>
            <w:r w:rsidDel="00000000" w:rsidR="00000000" w:rsidRPr="00000000">
              <w:rPr>
                <w:rFonts w:ascii="Bricolage Grotesque" w:cs="Bricolage Grotesque" w:eastAsia="Bricolage Grotesque" w:hAnsi="Bricolage Grotesque"/>
                <w:color w:val="c7162a"/>
                <w:sz w:val="21"/>
                <w:szCs w:val="21"/>
                <w:rtl w:val="0"/>
              </w:rPr>
              <w:t xml:space="preserve">Mickiewicza 83 lok. U1, 15-527 Białystok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oppins">
    <w:embedBold w:fontKey="{00000000-0000-0000-0000-000000000000}" r:id="rId1" w:subsetted="0"/>
    <w:embedBoldItalic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Bricolage Grotesque"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womenup.inicjatywaspoleczn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bold.ttf"/><Relationship Id="rId2" Type="http://schemas.openxmlformats.org/officeDocument/2006/relationships/font" Target="fonts/Poppins-boldItalic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BricolageGrotesq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7SEJ49/2olVx/dm19SPM0Tjxdg==">CgMxLjA4AHIhMVZwQ1MtZmJTZXcxQXJCb3dSRGtMbUE0cEstdnlUbUJB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