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FOR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F44B99" w:rsidRPr="00F44B99">
        <w:rPr>
          <w:rFonts w:ascii="Arial" w:eastAsia="Arial" w:hAnsi="Arial" w:cs="Arial"/>
          <w:b/>
          <w:sz w:val="24"/>
          <w:szCs w:val="24"/>
        </w:rPr>
        <w:t>ROLANDO JOSELITO DELIZO BAUTISTA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="00F44B99">
        <w:rPr>
          <w:rFonts w:ascii="Arial" w:eastAsia="Arial" w:hAnsi="Arial" w:cs="Arial"/>
          <w:sz w:val="24"/>
          <w:szCs w:val="24"/>
        </w:rPr>
        <w:t>Secretary</w:t>
      </w:r>
      <w:r w:rsidR="00E73248">
        <w:rPr>
          <w:rFonts w:ascii="Arial" w:eastAsia="Arial" w:hAnsi="Arial" w:cs="Arial"/>
          <w:sz w:val="24"/>
          <w:szCs w:val="24"/>
        </w:rPr>
        <w:t xml:space="preserve">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="00F44B99">
        <w:rPr>
          <w:rFonts w:ascii="Arial" w:eastAsia="Arial" w:hAnsi="Arial" w:cs="Arial"/>
          <w:sz w:val="24"/>
          <w:szCs w:val="24"/>
        </w:rPr>
        <w:t>Department of Social Welfare and Development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IBP Road, Batasan Pambansa Complex, 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Constitution Hills, Quezon City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FROM</w:t>
      </w:r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hAnsi="Arial" w:cs="Arial"/>
          <w:b/>
          <w:sz w:val="24"/>
          <w:szCs w:val="24"/>
        </w:rPr>
        <w:tab/>
        <w:t>THE OFFICER-IN-CHARGE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sz w:val="24"/>
          <w:szCs w:val="24"/>
        </w:rPr>
        <w:t>DSWD Field Office Caraga</w:t>
      </w:r>
      <w:r w:rsidRPr="00FA31D6">
        <w:rPr>
          <w:rFonts w:ascii="Arial" w:hAnsi="Arial" w:cs="Arial"/>
          <w:b/>
          <w:sz w:val="24"/>
          <w:szCs w:val="24"/>
        </w:rPr>
        <w:t xml:space="preserve">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SUBJECT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602E34">
        <w:rPr>
          <w:rFonts w:ascii="Arial" w:eastAsia="Arial" w:hAnsi="Arial" w:cs="Arial"/>
          <w:b/>
          <w:sz w:val="24"/>
          <w:szCs w:val="24"/>
        </w:rPr>
        <w:t xml:space="preserve">Update </w:t>
      </w:r>
      <w:r w:rsidR="00D77AA6">
        <w:rPr>
          <w:rFonts w:ascii="Arial" w:eastAsia="Arial" w:hAnsi="Arial" w:cs="Arial"/>
          <w:b/>
          <w:sz w:val="24"/>
          <w:szCs w:val="24"/>
        </w:rPr>
        <w:t>Report # 5</w:t>
      </w:r>
      <w:r w:rsidR="00544E4F">
        <w:rPr>
          <w:rFonts w:ascii="Arial" w:eastAsia="Arial" w:hAnsi="Arial" w:cs="Arial"/>
          <w:b/>
          <w:sz w:val="24"/>
          <w:szCs w:val="24"/>
        </w:rPr>
        <w:t xml:space="preserve"> re: TD Samuel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 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DATE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316707">
        <w:rPr>
          <w:rFonts w:ascii="Arial" w:eastAsia="Arial" w:hAnsi="Arial" w:cs="Arial"/>
          <w:b/>
          <w:sz w:val="24"/>
          <w:szCs w:val="24"/>
        </w:rPr>
        <w:t>17</w:t>
      </w:r>
      <w:r w:rsidR="00D77AA6">
        <w:rPr>
          <w:rFonts w:ascii="Arial" w:eastAsia="Arial" w:hAnsi="Arial" w:cs="Arial"/>
          <w:b/>
          <w:sz w:val="24"/>
          <w:szCs w:val="24"/>
        </w:rPr>
        <w:t>00H 20 November 2018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b/>
          <w:sz w:val="24"/>
          <w:szCs w:val="24"/>
        </w:rPr>
        <w:t>__________________________________________________________________</w:t>
      </w:r>
    </w:p>
    <w:p w:rsidR="00FA31D6" w:rsidRPr="00FA31D6" w:rsidRDefault="00FA31D6" w:rsidP="00FA31D6">
      <w:pPr>
        <w:spacing w:after="0" w:line="240" w:lineRule="auto"/>
        <w:contextualSpacing/>
        <w:jc w:val="both"/>
        <w:rPr>
          <w:rFonts w:ascii="Arial" w:hAnsi="Arial" w:cs="Arial"/>
          <w:sz w:val="16"/>
          <w:szCs w:val="24"/>
        </w:rPr>
      </w:pPr>
    </w:p>
    <w:p w:rsidR="0057751E" w:rsidRPr="00DF14C6" w:rsidRDefault="0057751E" w:rsidP="00DF14C6">
      <w:pPr>
        <w:jc w:val="both"/>
        <w:rPr>
          <w:rFonts w:ascii="Arial" w:hAnsi="Arial" w:cs="Arial"/>
          <w:b/>
          <w:sz w:val="24"/>
          <w:szCs w:val="24"/>
        </w:rPr>
      </w:pPr>
      <w:r w:rsidRPr="00DF14C6">
        <w:rPr>
          <w:rFonts w:ascii="Arial" w:hAnsi="Arial" w:cs="Arial"/>
          <w:b/>
          <w:sz w:val="24"/>
          <w:szCs w:val="24"/>
        </w:rPr>
        <w:t>Situation Overview</w:t>
      </w:r>
    </w:p>
    <w:p w:rsidR="00D77AA6" w:rsidRDefault="00D77AA6" w:rsidP="0057751E">
      <w:pPr>
        <w:jc w:val="both"/>
        <w:rPr>
          <w:rFonts w:ascii="Arial" w:hAnsi="Arial" w:cs="Arial"/>
          <w:sz w:val="24"/>
          <w:szCs w:val="24"/>
        </w:rPr>
      </w:pPr>
      <w:r w:rsidRPr="00D77AA6">
        <w:rPr>
          <w:rFonts w:ascii="Arial" w:hAnsi="Arial" w:cs="Arial"/>
          <w:sz w:val="24"/>
          <w:szCs w:val="24"/>
        </w:rPr>
        <w:t>At 1:00 PM today, the center of Tropical Depression "SAMUEL" was estimated based on all available data at 260 km East of Maasin City, Southern Leyte or 185 km East Southeast of Guiuan, E</w:t>
      </w:r>
      <w:r>
        <w:rPr>
          <w:rFonts w:ascii="Arial" w:hAnsi="Arial" w:cs="Arial"/>
          <w:sz w:val="24"/>
          <w:szCs w:val="24"/>
        </w:rPr>
        <w:t>astern Samar (10.2 °N, 127.2 °E</w:t>
      </w:r>
      <w:r w:rsidRPr="00D77AA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with a m</w:t>
      </w:r>
      <w:r w:rsidRPr="00D77AA6">
        <w:rPr>
          <w:rFonts w:ascii="Arial" w:hAnsi="Arial" w:cs="Arial"/>
          <w:sz w:val="24"/>
          <w:szCs w:val="24"/>
        </w:rPr>
        <w:t>aximum sustained winds of 55 kph near the center and gustiness of up to 65 kph</w:t>
      </w:r>
      <w:r>
        <w:rPr>
          <w:rFonts w:ascii="Arial" w:hAnsi="Arial" w:cs="Arial"/>
          <w:sz w:val="24"/>
          <w:szCs w:val="24"/>
        </w:rPr>
        <w:t>, m</w:t>
      </w:r>
      <w:r w:rsidRPr="00D77AA6">
        <w:rPr>
          <w:rFonts w:ascii="Arial" w:hAnsi="Arial" w:cs="Arial"/>
          <w:sz w:val="24"/>
          <w:szCs w:val="24"/>
        </w:rPr>
        <w:t>oving West Northwest at 20 kph</w:t>
      </w:r>
    </w:p>
    <w:p w:rsidR="0057751E" w:rsidRDefault="00F22C13" w:rsidP="005775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</w:t>
      </w:r>
      <w:r w:rsidR="0057751E">
        <w:rPr>
          <w:rFonts w:ascii="Arial" w:hAnsi="Arial" w:cs="Arial"/>
          <w:sz w:val="24"/>
          <w:szCs w:val="24"/>
        </w:rPr>
        <w:t>provinces in the region namely: Surigao del Norte, Surigao del Sur, Agusan del Norte</w:t>
      </w:r>
      <w:r>
        <w:rPr>
          <w:rFonts w:ascii="Arial" w:hAnsi="Arial" w:cs="Arial"/>
          <w:sz w:val="24"/>
          <w:szCs w:val="24"/>
        </w:rPr>
        <w:t>, Agusan del Sur</w:t>
      </w:r>
      <w:r w:rsidR="0057751E">
        <w:rPr>
          <w:rFonts w:ascii="Arial" w:hAnsi="Arial" w:cs="Arial"/>
          <w:sz w:val="24"/>
          <w:szCs w:val="24"/>
        </w:rPr>
        <w:t xml:space="preserve"> and the Province of Dinagat Islands are </w:t>
      </w:r>
      <w:r w:rsidR="00C07A5D">
        <w:rPr>
          <w:rFonts w:ascii="Arial" w:hAnsi="Arial" w:cs="Arial"/>
          <w:sz w:val="24"/>
          <w:szCs w:val="24"/>
        </w:rPr>
        <w:t xml:space="preserve">still </w:t>
      </w:r>
      <w:r w:rsidR="0057751E">
        <w:rPr>
          <w:rFonts w:ascii="Arial" w:hAnsi="Arial" w:cs="Arial"/>
          <w:sz w:val="24"/>
          <w:szCs w:val="24"/>
        </w:rPr>
        <w:t xml:space="preserve">under Tropical Cyclone </w:t>
      </w:r>
      <w:r w:rsidR="00BF4598">
        <w:rPr>
          <w:rFonts w:ascii="Arial" w:hAnsi="Arial" w:cs="Arial"/>
          <w:sz w:val="24"/>
          <w:szCs w:val="24"/>
        </w:rPr>
        <w:t xml:space="preserve">Warning </w:t>
      </w:r>
      <w:r w:rsidR="0057751E">
        <w:rPr>
          <w:rFonts w:ascii="Arial" w:hAnsi="Arial" w:cs="Arial"/>
          <w:sz w:val="24"/>
          <w:szCs w:val="24"/>
        </w:rPr>
        <w:t>Signal # 1.</w:t>
      </w:r>
    </w:p>
    <w:p w:rsidR="00044C48" w:rsidRPr="00DF14C6" w:rsidRDefault="00044C48" w:rsidP="00DF14C6">
      <w:pPr>
        <w:jc w:val="both"/>
        <w:rPr>
          <w:rFonts w:ascii="Arial" w:hAnsi="Arial" w:cs="Arial"/>
          <w:b/>
          <w:sz w:val="24"/>
          <w:szCs w:val="24"/>
        </w:rPr>
      </w:pPr>
      <w:r w:rsidRPr="00DF14C6">
        <w:rPr>
          <w:rFonts w:ascii="Arial" w:hAnsi="Arial" w:cs="Arial"/>
          <w:b/>
          <w:sz w:val="24"/>
          <w:szCs w:val="24"/>
        </w:rPr>
        <w:t>Status of Evacuation Centers</w:t>
      </w:r>
    </w:p>
    <w:p w:rsidR="00044C48" w:rsidRDefault="00117472" w:rsidP="00044C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of reporting time, a total of </w:t>
      </w:r>
      <w:r w:rsidR="00475635">
        <w:rPr>
          <w:rFonts w:ascii="Arial" w:hAnsi="Arial" w:cs="Arial"/>
          <w:sz w:val="24"/>
          <w:szCs w:val="24"/>
        </w:rPr>
        <w:t>41</w:t>
      </w:r>
      <w:r w:rsidR="00282FC1">
        <w:rPr>
          <w:rFonts w:ascii="Arial" w:hAnsi="Arial" w:cs="Arial"/>
          <w:sz w:val="24"/>
          <w:szCs w:val="24"/>
        </w:rPr>
        <w:t xml:space="preserve"> evacuation centers were </w:t>
      </w:r>
      <w:r w:rsidR="00135D5C">
        <w:rPr>
          <w:rFonts w:ascii="Arial" w:hAnsi="Arial" w:cs="Arial"/>
          <w:sz w:val="24"/>
          <w:szCs w:val="24"/>
        </w:rPr>
        <w:t>activated</w:t>
      </w:r>
      <w:r w:rsidR="008D1816">
        <w:rPr>
          <w:rFonts w:ascii="Arial" w:hAnsi="Arial" w:cs="Arial"/>
          <w:sz w:val="24"/>
          <w:szCs w:val="24"/>
        </w:rPr>
        <w:t xml:space="preserve"> in</w:t>
      </w:r>
      <w:r w:rsidR="00F71B03">
        <w:rPr>
          <w:rFonts w:ascii="Arial" w:hAnsi="Arial" w:cs="Arial"/>
          <w:sz w:val="24"/>
          <w:szCs w:val="24"/>
        </w:rPr>
        <w:t xml:space="preserve"> </w:t>
      </w:r>
      <w:r w:rsidR="00475635">
        <w:rPr>
          <w:rFonts w:ascii="Arial" w:hAnsi="Arial" w:cs="Arial"/>
          <w:sz w:val="24"/>
          <w:szCs w:val="24"/>
        </w:rPr>
        <w:t>1</w:t>
      </w:r>
      <w:r w:rsidR="00F71B03">
        <w:rPr>
          <w:rFonts w:ascii="Arial" w:hAnsi="Arial" w:cs="Arial"/>
          <w:sz w:val="24"/>
          <w:szCs w:val="24"/>
        </w:rPr>
        <w:t>7 municipalities and 1 city</w:t>
      </w:r>
      <w:r w:rsidR="00135D5C">
        <w:rPr>
          <w:rFonts w:ascii="Arial" w:hAnsi="Arial" w:cs="Arial"/>
          <w:sz w:val="24"/>
          <w:szCs w:val="24"/>
        </w:rPr>
        <w:t xml:space="preserve"> in 3</w:t>
      </w:r>
      <w:r>
        <w:rPr>
          <w:rFonts w:ascii="Arial" w:hAnsi="Arial" w:cs="Arial"/>
          <w:sz w:val="24"/>
          <w:szCs w:val="24"/>
        </w:rPr>
        <w:t xml:space="preserve"> provinces in the region</w:t>
      </w:r>
      <w:r w:rsidR="00C91878">
        <w:rPr>
          <w:rFonts w:ascii="Arial" w:hAnsi="Arial" w:cs="Arial"/>
          <w:sz w:val="24"/>
          <w:szCs w:val="24"/>
        </w:rPr>
        <w:t xml:space="preserve"> with</w:t>
      </w:r>
      <w:r>
        <w:rPr>
          <w:rFonts w:ascii="Arial" w:hAnsi="Arial" w:cs="Arial"/>
          <w:sz w:val="24"/>
          <w:szCs w:val="24"/>
        </w:rPr>
        <w:t xml:space="preserve"> </w:t>
      </w:r>
      <w:r w:rsidR="007022D6">
        <w:rPr>
          <w:rFonts w:ascii="Arial" w:hAnsi="Arial" w:cs="Arial"/>
          <w:sz w:val="24"/>
          <w:szCs w:val="24"/>
        </w:rPr>
        <w:t>958</w:t>
      </w:r>
      <w:r w:rsidR="00C91878">
        <w:rPr>
          <w:rFonts w:ascii="Arial" w:hAnsi="Arial" w:cs="Arial"/>
          <w:sz w:val="24"/>
          <w:szCs w:val="24"/>
        </w:rPr>
        <w:t xml:space="preserve"> families or</w:t>
      </w:r>
      <w:r>
        <w:rPr>
          <w:rFonts w:ascii="Arial" w:hAnsi="Arial" w:cs="Arial"/>
          <w:sz w:val="24"/>
          <w:szCs w:val="24"/>
        </w:rPr>
        <w:t xml:space="preserve"> </w:t>
      </w:r>
      <w:r w:rsidR="007022D6">
        <w:rPr>
          <w:rFonts w:ascii="Arial" w:hAnsi="Arial" w:cs="Arial"/>
          <w:sz w:val="24"/>
          <w:szCs w:val="24"/>
        </w:rPr>
        <w:t>3,725</w:t>
      </w:r>
      <w:r>
        <w:rPr>
          <w:rFonts w:ascii="Arial" w:hAnsi="Arial" w:cs="Arial"/>
          <w:sz w:val="24"/>
          <w:szCs w:val="24"/>
        </w:rPr>
        <w:t xml:space="preserve"> individuals</w:t>
      </w:r>
      <w:r w:rsidR="00C91878">
        <w:rPr>
          <w:rFonts w:ascii="Arial" w:hAnsi="Arial" w:cs="Arial"/>
          <w:sz w:val="24"/>
          <w:szCs w:val="24"/>
        </w:rPr>
        <w:t>.</w:t>
      </w:r>
      <w:r w:rsidR="004841E2">
        <w:rPr>
          <w:rFonts w:ascii="Arial" w:hAnsi="Arial" w:cs="Arial"/>
          <w:sz w:val="24"/>
          <w:szCs w:val="24"/>
        </w:rPr>
        <w:t xml:space="preserve"> These</w:t>
      </w:r>
      <w:r w:rsidR="00475635">
        <w:rPr>
          <w:rFonts w:ascii="Arial" w:hAnsi="Arial" w:cs="Arial"/>
          <w:sz w:val="24"/>
          <w:szCs w:val="24"/>
        </w:rPr>
        <w:t xml:space="preserve"> families come from the province</w:t>
      </w:r>
      <w:r w:rsidR="005E7C2E">
        <w:rPr>
          <w:rFonts w:ascii="Arial" w:hAnsi="Arial" w:cs="Arial"/>
          <w:sz w:val="24"/>
          <w:szCs w:val="24"/>
        </w:rPr>
        <w:t>s</w:t>
      </w:r>
      <w:r w:rsidR="00475635">
        <w:rPr>
          <w:rFonts w:ascii="Arial" w:hAnsi="Arial" w:cs="Arial"/>
          <w:sz w:val="24"/>
          <w:szCs w:val="24"/>
        </w:rPr>
        <w:t xml:space="preserve"> of Surigao del</w:t>
      </w:r>
      <w:r w:rsidR="005E7C2E">
        <w:rPr>
          <w:rFonts w:ascii="Arial" w:hAnsi="Arial" w:cs="Arial"/>
          <w:sz w:val="24"/>
          <w:szCs w:val="24"/>
        </w:rPr>
        <w:t xml:space="preserve"> Norte, Surigao del Sur and </w:t>
      </w:r>
      <w:r w:rsidR="00475635">
        <w:rPr>
          <w:rFonts w:ascii="Arial" w:hAnsi="Arial" w:cs="Arial"/>
          <w:sz w:val="24"/>
          <w:szCs w:val="24"/>
        </w:rPr>
        <w:t>Dinagat Islands.</w:t>
      </w:r>
    </w:p>
    <w:p w:rsidR="000616B9" w:rsidRDefault="000616B9" w:rsidP="00044C48">
      <w:pPr>
        <w:jc w:val="both"/>
        <w:rPr>
          <w:rFonts w:ascii="Arial" w:hAnsi="Arial" w:cs="Arial"/>
          <w:b/>
          <w:sz w:val="24"/>
          <w:szCs w:val="24"/>
        </w:rPr>
      </w:pPr>
      <w:r w:rsidRPr="000616B9">
        <w:rPr>
          <w:rFonts w:ascii="Arial" w:hAnsi="Arial" w:cs="Arial"/>
          <w:b/>
          <w:sz w:val="24"/>
          <w:szCs w:val="24"/>
        </w:rPr>
        <w:t>Status of Damaged Houses</w:t>
      </w:r>
    </w:p>
    <w:p w:rsidR="000616B9" w:rsidRDefault="000616B9" w:rsidP="00044C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total of 2 houses were reported as partially damaged in the municipalities of Socorro and Bacuag, Surigao del Norte.</w:t>
      </w:r>
    </w:p>
    <w:p w:rsidR="000616B9" w:rsidRDefault="000616B9" w:rsidP="00044C48">
      <w:pPr>
        <w:jc w:val="both"/>
        <w:rPr>
          <w:rFonts w:ascii="Arial" w:hAnsi="Arial" w:cs="Arial"/>
          <w:b/>
          <w:sz w:val="24"/>
          <w:szCs w:val="24"/>
        </w:rPr>
      </w:pPr>
      <w:r w:rsidRPr="000616B9">
        <w:rPr>
          <w:rFonts w:ascii="Arial" w:hAnsi="Arial" w:cs="Arial"/>
          <w:b/>
          <w:sz w:val="24"/>
          <w:szCs w:val="24"/>
        </w:rPr>
        <w:t>Status of Cost of Assistance</w:t>
      </w:r>
    </w:p>
    <w:p w:rsidR="00536D9A" w:rsidRPr="003B54EC" w:rsidRDefault="003B54EC" w:rsidP="00044C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total of PhP15,492.00 </w:t>
      </w:r>
      <w:r w:rsidR="004841E2">
        <w:rPr>
          <w:rFonts w:ascii="Arial" w:hAnsi="Arial" w:cs="Arial"/>
          <w:sz w:val="24"/>
          <w:szCs w:val="24"/>
        </w:rPr>
        <w:t xml:space="preserve">worth of Family Food Packs </w:t>
      </w:r>
      <w:r>
        <w:rPr>
          <w:rFonts w:ascii="Arial" w:hAnsi="Arial" w:cs="Arial"/>
          <w:sz w:val="24"/>
          <w:szCs w:val="24"/>
        </w:rPr>
        <w:t>were provided by the LGU of Surigao City to the affected families</w:t>
      </w:r>
      <w:r w:rsidR="004841E2">
        <w:rPr>
          <w:rFonts w:ascii="Arial" w:hAnsi="Arial" w:cs="Arial"/>
          <w:sz w:val="24"/>
          <w:szCs w:val="24"/>
        </w:rPr>
        <w:t xml:space="preserve"> consisting of 3 kls rice, 3 tins sardines and 2 tins beef loaf</w:t>
      </w:r>
      <w:r>
        <w:rPr>
          <w:rFonts w:ascii="Arial" w:hAnsi="Arial" w:cs="Arial"/>
          <w:sz w:val="24"/>
          <w:szCs w:val="24"/>
        </w:rPr>
        <w:t>.</w:t>
      </w:r>
    </w:p>
    <w:p w:rsidR="00AF2F51" w:rsidRPr="00DF14C6" w:rsidRDefault="00AF2F51" w:rsidP="00DF14C6">
      <w:pPr>
        <w:jc w:val="both"/>
        <w:rPr>
          <w:rFonts w:ascii="Arial" w:hAnsi="Arial" w:cs="Arial"/>
          <w:b/>
          <w:sz w:val="24"/>
          <w:szCs w:val="24"/>
        </w:rPr>
      </w:pPr>
      <w:r w:rsidRPr="00DF14C6">
        <w:rPr>
          <w:rFonts w:ascii="Arial" w:hAnsi="Arial" w:cs="Arial"/>
          <w:b/>
          <w:sz w:val="24"/>
          <w:szCs w:val="24"/>
        </w:rPr>
        <w:t>Status of Stranded Passengers</w:t>
      </w:r>
      <w:r w:rsidR="003A4A0B" w:rsidRPr="00DF14C6">
        <w:rPr>
          <w:rFonts w:ascii="Arial" w:hAnsi="Arial" w:cs="Arial"/>
          <w:b/>
          <w:sz w:val="24"/>
          <w:szCs w:val="24"/>
        </w:rPr>
        <w:t xml:space="preserve"> in Seaports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2F51" w:rsidTr="00AF2F51"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E449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Number of Stranded Passengers</w:t>
            </w:r>
          </w:p>
        </w:tc>
      </w:tr>
      <w:tr w:rsidR="00AF2F51" w:rsidTr="00AF2F51"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PMO – Surigao </w:t>
            </w:r>
          </w:p>
        </w:tc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AF2F51" w:rsidTr="00AF2F51"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Lipata</w:t>
            </w:r>
          </w:p>
        </w:tc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58</w:t>
            </w:r>
          </w:p>
        </w:tc>
      </w:tr>
      <w:tr w:rsidR="00AF2F51" w:rsidTr="00AF2F51"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Nasipit</w:t>
            </w:r>
          </w:p>
        </w:tc>
        <w:tc>
          <w:tcPr>
            <w:tcW w:w="4508" w:type="dxa"/>
            <w:shd w:val="clear" w:color="auto" w:fill="auto"/>
          </w:tcPr>
          <w:p w:rsidR="00AF2F51" w:rsidRDefault="00CF3526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</w:tr>
      <w:tr w:rsidR="00AF2F51" w:rsidTr="00AF2F51"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CF35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CF3526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</w:tbl>
    <w:p w:rsidR="008E271F" w:rsidRPr="00824871" w:rsidRDefault="00AF2F51" w:rsidP="00824871">
      <w:pPr>
        <w:jc w:val="right"/>
        <w:rPr>
          <w:rFonts w:ascii="Arial" w:hAnsi="Arial" w:cs="Arial"/>
          <w:color w:val="0070C0"/>
          <w:sz w:val="24"/>
          <w:szCs w:val="24"/>
          <w:vertAlign w:val="superscript"/>
        </w:rPr>
      </w:pPr>
      <w:r w:rsidRPr="00AF2F51">
        <w:rPr>
          <w:rFonts w:ascii="Arial" w:hAnsi="Arial" w:cs="Arial"/>
          <w:color w:val="0070C0"/>
          <w:sz w:val="24"/>
          <w:szCs w:val="24"/>
          <w:vertAlign w:val="superscript"/>
        </w:rPr>
        <w:t>Source: Office of Civil Defense Caraga</w:t>
      </w:r>
    </w:p>
    <w:p w:rsidR="00536D9A" w:rsidRDefault="00536D9A" w:rsidP="00E80449">
      <w:pPr>
        <w:jc w:val="both"/>
        <w:rPr>
          <w:rFonts w:ascii="Arial" w:hAnsi="Arial" w:cs="Arial"/>
          <w:b/>
          <w:sz w:val="24"/>
          <w:szCs w:val="24"/>
        </w:rPr>
      </w:pPr>
    </w:p>
    <w:p w:rsidR="00865000" w:rsidRDefault="00865000" w:rsidP="00E80449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57751E" w:rsidRPr="00E80449" w:rsidRDefault="0057751E" w:rsidP="00E80449">
      <w:pPr>
        <w:jc w:val="both"/>
        <w:rPr>
          <w:rFonts w:ascii="Arial" w:hAnsi="Arial" w:cs="Arial"/>
          <w:b/>
          <w:sz w:val="24"/>
          <w:szCs w:val="24"/>
        </w:rPr>
      </w:pPr>
      <w:r w:rsidRPr="00E80449">
        <w:rPr>
          <w:rFonts w:ascii="Arial" w:hAnsi="Arial" w:cs="Arial"/>
          <w:b/>
          <w:sz w:val="24"/>
          <w:szCs w:val="24"/>
        </w:rPr>
        <w:lastRenderedPageBreak/>
        <w:t>Status of Stockpile and Standby Fund</w:t>
      </w:r>
    </w:p>
    <w:p w:rsidR="00FA31D6" w:rsidRPr="00FA31D6" w:rsidRDefault="00FA31D6" w:rsidP="00F13AF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Presently</w:t>
      </w:r>
      <w:r w:rsidR="0037594A">
        <w:rPr>
          <w:rFonts w:ascii="Arial" w:hAnsi="Arial" w:cs="Arial"/>
          <w:sz w:val="24"/>
          <w:szCs w:val="24"/>
        </w:rPr>
        <w:t>,</w:t>
      </w:r>
      <w:r w:rsidRPr="00FA31D6">
        <w:rPr>
          <w:rFonts w:ascii="Arial" w:hAnsi="Arial" w:cs="Arial"/>
          <w:sz w:val="24"/>
          <w:szCs w:val="24"/>
        </w:rPr>
        <w:t xml:space="preserve"> the Field Office (FO) has </w:t>
      </w:r>
      <w:r w:rsidR="00F13AF1" w:rsidRPr="00F13AF1">
        <w:rPr>
          <w:rFonts w:ascii="Arial" w:hAnsi="Arial" w:cs="Arial"/>
          <w:b/>
          <w:sz w:val="24"/>
          <w:szCs w:val="24"/>
        </w:rPr>
        <w:t>18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304</w:t>
      </w:r>
      <w:r w:rsidR="00D87BA3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b/>
          <w:sz w:val="24"/>
          <w:szCs w:val="24"/>
        </w:rPr>
        <w:t xml:space="preserve">Family Food Packs (FFPs) </w:t>
      </w:r>
      <w:r w:rsidRPr="00FA31D6">
        <w:rPr>
          <w:rFonts w:ascii="Arial" w:hAnsi="Arial" w:cs="Arial"/>
          <w:sz w:val="24"/>
          <w:szCs w:val="24"/>
        </w:rPr>
        <w:t xml:space="preserve">available amounting to </w:t>
      </w:r>
      <w:r w:rsidRPr="00FA31D6">
        <w:rPr>
          <w:rFonts w:ascii="Arial" w:hAnsi="Arial" w:cs="Arial"/>
          <w:b/>
          <w:sz w:val="24"/>
          <w:szCs w:val="24"/>
        </w:rPr>
        <w:t xml:space="preserve">PhP </w:t>
      </w:r>
      <w:r w:rsidR="00F13AF1" w:rsidRPr="00F13AF1">
        <w:rPr>
          <w:rFonts w:ascii="Arial" w:hAnsi="Arial" w:cs="Arial"/>
          <w:b/>
          <w:sz w:val="24"/>
          <w:szCs w:val="24"/>
        </w:rPr>
        <w:t>5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621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890.56</w:t>
      </w:r>
      <w:r w:rsidRPr="00FA31D6">
        <w:rPr>
          <w:rFonts w:ascii="Arial" w:hAnsi="Arial" w:cs="Arial"/>
          <w:b/>
          <w:sz w:val="24"/>
          <w:szCs w:val="24"/>
        </w:rPr>
        <w:t>.</w:t>
      </w:r>
    </w:p>
    <w:p w:rsidR="00FA31D6" w:rsidRPr="00FA31D6" w:rsidRDefault="00FA31D6" w:rsidP="0035391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A total of </w:t>
      </w:r>
      <w:r w:rsidR="0035391E">
        <w:rPr>
          <w:rFonts w:ascii="Arial" w:hAnsi="Arial" w:cs="Arial"/>
          <w:b/>
          <w:sz w:val="24"/>
          <w:szCs w:val="24"/>
        </w:rPr>
        <w:t>9,485</w:t>
      </w:r>
      <w:r w:rsidRPr="00FA31D6">
        <w:rPr>
          <w:rFonts w:ascii="Arial" w:hAnsi="Arial" w:cs="Arial"/>
          <w:b/>
          <w:sz w:val="24"/>
          <w:szCs w:val="24"/>
        </w:rPr>
        <w:t xml:space="preserve"> FFPs </w:t>
      </w:r>
      <w:r w:rsidRPr="00FA31D6">
        <w:rPr>
          <w:rFonts w:ascii="Arial" w:hAnsi="Arial" w:cs="Arial"/>
          <w:sz w:val="24"/>
          <w:szCs w:val="24"/>
        </w:rPr>
        <w:t xml:space="preserve">amounting to </w:t>
      </w:r>
      <w:r w:rsidRPr="00FA31D6">
        <w:rPr>
          <w:rFonts w:ascii="Arial" w:hAnsi="Arial" w:cs="Arial"/>
          <w:b/>
          <w:sz w:val="24"/>
          <w:szCs w:val="24"/>
        </w:rPr>
        <w:t xml:space="preserve">Php </w:t>
      </w:r>
      <w:r w:rsidR="0035391E" w:rsidRPr="0035391E">
        <w:rPr>
          <w:rFonts w:ascii="Arial" w:hAnsi="Arial" w:cs="Arial"/>
          <w:b/>
          <w:sz w:val="24"/>
          <w:szCs w:val="24"/>
        </w:rPr>
        <w:t>2</w:t>
      </w:r>
      <w:r w:rsidR="0035391E">
        <w:rPr>
          <w:rFonts w:ascii="Arial" w:hAnsi="Arial" w:cs="Arial"/>
          <w:b/>
          <w:sz w:val="24"/>
          <w:szCs w:val="24"/>
        </w:rPr>
        <w:t>,</w:t>
      </w:r>
      <w:r w:rsidR="0035391E" w:rsidRPr="0035391E">
        <w:rPr>
          <w:rFonts w:ascii="Arial" w:hAnsi="Arial" w:cs="Arial"/>
          <w:b/>
          <w:sz w:val="24"/>
          <w:szCs w:val="24"/>
        </w:rPr>
        <w:t>913</w:t>
      </w:r>
      <w:r w:rsidR="0035391E">
        <w:rPr>
          <w:rFonts w:ascii="Arial" w:hAnsi="Arial" w:cs="Arial"/>
          <w:b/>
          <w:sz w:val="24"/>
          <w:szCs w:val="24"/>
        </w:rPr>
        <w:t>,</w:t>
      </w:r>
      <w:r w:rsidR="0035391E" w:rsidRPr="0035391E">
        <w:rPr>
          <w:rFonts w:ascii="Arial" w:hAnsi="Arial" w:cs="Arial"/>
          <w:b/>
          <w:sz w:val="24"/>
          <w:szCs w:val="24"/>
        </w:rPr>
        <w:t>222.9</w:t>
      </w:r>
      <w:r w:rsidR="0035391E">
        <w:rPr>
          <w:rFonts w:ascii="Arial" w:hAnsi="Arial" w:cs="Arial"/>
          <w:b/>
          <w:sz w:val="24"/>
          <w:szCs w:val="24"/>
        </w:rPr>
        <w:t xml:space="preserve">0 </w:t>
      </w:r>
      <w:r w:rsidRPr="00FA31D6">
        <w:rPr>
          <w:rFonts w:ascii="Arial" w:hAnsi="Arial" w:cs="Arial"/>
          <w:sz w:val="24"/>
          <w:szCs w:val="24"/>
        </w:rPr>
        <w:t xml:space="preserve">are prepositioned in FO’s rented warehouses in geographically hard to reach areas. </w:t>
      </w:r>
      <w:r w:rsidRPr="00FA31D6">
        <w:rPr>
          <w:rFonts w:ascii="Arial" w:hAnsi="Arial" w:cs="Arial"/>
          <w:b/>
          <w:sz w:val="24"/>
          <w:szCs w:val="24"/>
          <w:vertAlign w:val="superscript"/>
        </w:rPr>
        <w:t>(See table below)</w:t>
      </w:r>
    </w:p>
    <w:tbl>
      <w:tblPr>
        <w:tblStyle w:val="TableGrid"/>
        <w:tblW w:w="7938" w:type="dxa"/>
        <w:tblInd w:w="1413" w:type="dxa"/>
        <w:tblLook w:val="04A0" w:firstRow="1" w:lastRow="0" w:firstColumn="1" w:lastColumn="0" w:noHBand="0" w:noVBand="1"/>
      </w:tblPr>
      <w:tblGrid>
        <w:gridCol w:w="3204"/>
        <w:gridCol w:w="2900"/>
        <w:gridCol w:w="1834"/>
      </w:tblGrid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Province/City/Municipality</w:t>
            </w:r>
          </w:p>
        </w:tc>
        <w:tc>
          <w:tcPr>
            <w:tcW w:w="2977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Family Food Packs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Amount (PhP)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A6A6A6" w:themeFill="background1" w:themeFillShade="A6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Grand Total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FA31D6" w:rsidRPr="00FA31D6" w:rsidRDefault="0035391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9,485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FA31D6" w:rsidRPr="00FA31D6" w:rsidRDefault="0035391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5391E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35391E">
              <w:rPr>
                <w:rFonts w:ascii="Arial" w:hAnsi="Arial" w:cs="Arial"/>
                <w:b/>
                <w:sz w:val="24"/>
                <w:szCs w:val="24"/>
              </w:rPr>
              <w:t>913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35391E">
              <w:rPr>
                <w:rFonts w:ascii="Arial" w:hAnsi="Arial" w:cs="Arial"/>
                <w:b/>
                <w:sz w:val="24"/>
                <w:szCs w:val="24"/>
              </w:rPr>
              <w:t>222.9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Surigao del Sur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2,000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614,280.00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Tandag City</w:t>
            </w:r>
          </w:p>
        </w:tc>
        <w:tc>
          <w:tcPr>
            <w:tcW w:w="2977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2,000</w:t>
            </w:r>
          </w:p>
        </w:tc>
        <w:tc>
          <w:tcPr>
            <w:tcW w:w="1843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614,280.00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FA31D6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Province of Dinagat Islands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60376E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2,</w:t>
            </w:r>
            <w:r w:rsidR="0060376E">
              <w:rPr>
                <w:rFonts w:ascii="Arial" w:hAnsi="Arial" w:cs="Arial"/>
                <w:b/>
                <w:sz w:val="24"/>
                <w:szCs w:val="24"/>
              </w:rPr>
              <w:t>485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763,242.90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San Jose</w:t>
            </w:r>
          </w:p>
        </w:tc>
        <w:tc>
          <w:tcPr>
            <w:tcW w:w="2977" w:type="dxa"/>
            <w:vAlign w:val="center"/>
          </w:tcPr>
          <w:p w:rsidR="00FA31D6" w:rsidRPr="00FA31D6" w:rsidRDefault="00FA31D6" w:rsidP="0060376E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2,</w:t>
            </w:r>
            <w:r w:rsidR="0060376E">
              <w:rPr>
                <w:rFonts w:ascii="Arial" w:hAnsi="Arial" w:cs="Arial"/>
                <w:sz w:val="24"/>
                <w:szCs w:val="24"/>
              </w:rPr>
              <w:t>485</w:t>
            </w:r>
          </w:p>
        </w:tc>
        <w:tc>
          <w:tcPr>
            <w:tcW w:w="1843" w:type="dxa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763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0376E">
              <w:rPr>
                <w:rFonts w:ascii="Arial" w:hAnsi="Arial" w:cs="Arial"/>
                <w:sz w:val="24"/>
                <w:szCs w:val="24"/>
              </w:rPr>
              <w:t>242.9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0376E" w:rsidRPr="00FA31D6" w:rsidTr="0060376E">
        <w:trPr>
          <w:trHeight w:val="296"/>
        </w:trPr>
        <w:tc>
          <w:tcPr>
            <w:tcW w:w="3118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Agusan del Sur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1,500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460,710.00</w:t>
            </w:r>
          </w:p>
        </w:tc>
      </w:tr>
      <w:tr w:rsidR="0060376E" w:rsidRPr="00FA31D6" w:rsidTr="0060376E">
        <w:trPr>
          <w:trHeight w:val="296"/>
        </w:trPr>
        <w:tc>
          <w:tcPr>
            <w:tcW w:w="3118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RRCY Bodega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1,500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460,710.00</w:t>
            </w:r>
          </w:p>
        </w:tc>
      </w:tr>
      <w:tr w:rsidR="0035391E" w:rsidRPr="00FA31D6" w:rsidTr="0035391E">
        <w:trPr>
          <w:trHeight w:val="296"/>
        </w:trPr>
        <w:tc>
          <w:tcPr>
            <w:tcW w:w="3118" w:type="dxa"/>
            <w:shd w:val="clear" w:color="auto" w:fill="A6A6A6" w:themeFill="background1" w:themeFillShade="A6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5391E">
              <w:rPr>
                <w:rFonts w:ascii="Arial" w:hAnsi="Arial" w:cs="Arial"/>
                <w:b/>
                <w:sz w:val="24"/>
                <w:szCs w:val="24"/>
              </w:rPr>
              <w:t>Surigao del Norte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391E">
              <w:rPr>
                <w:rFonts w:ascii="Arial" w:hAnsi="Arial" w:cs="Arial"/>
                <w:b/>
                <w:sz w:val="24"/>
                <w:szCs w:val="24"/>
              </w:rPr>
              <w:t>3,500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5391E">
              <w:rPr>
                <w:rFonts w:ascii="Arial" w:hAnsi="Arial" w:cs="Arial"/>
                <w:b/>
                <w:sz w:val="24"/>
                <w:szCs w:val="24"/>
              </w:rPr>
              <w:t>1,074,990.00</w:t>
            </w:r>
          </w:p>
        </w:tc>
      </w:tr>
      <w:tr w:rsidR="0035391E" w:rsidRPr="00FA31D6" w:rsidTr="0035391E">
        <w:trPr>
          <w:trHeight w:val="296"/>
        </w:trPr>
        <w:tc>
          <w:tcPr>
            <w:tcW w:w="3118" w:type="dxa"/>
            <w:shd w:val="clear" w:color="auto" w:fill="auto"/>
            <w:vAlign w:val="center"/>
          </w:tcPr>
          <w:p w:rsidR="0035391E" w:rsidRPr="0035391E" w:rsidRDefault="00DF14C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DPWH Warehouse </w:t>
            </w:r>
            <w:r w:rsidR="0035391E">
              <w:rPr>
                <w:rFonts w:ascii="Arial" w:hAnsi="Arial" w:cs="Arial"/>
                <w:sz w:val="24"/>
                <w:szCs w:val="24"/>
              </w:rPr>
              <w:t>Surigao City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3,500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391E">
              <w:rPr>
                <w:rFonts w:ascii="Arial" w:hAnsi="Arial" w:cs="Arial"/>
                <w:sz w:val="24"/>
                <w:szCs w:val="24"/>
              </w:rPr>
              <w:t>1,074,990.00</w:t>
            </w:r>
          </w:p>
        </w:tc>
      </w:tr>
    </w:tbl>
    <w:p w:rsidR="00FA31D6" w:rsidRPr="00FA31D6" w:rsidRDefault="00FA31D6" w:rsidP="00FA31D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A31D6" w:rsidRDefault="00FA31D6" w:rsidP="0059583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A total of </w:t>
      </w:r>
      <w:r w:rsidR="00595836">
        <w:rPr>
          <w:rFonts w:ascii="Arial" w:hAnsi="Arial" w:cs="Arial"/>
          <w:b/>
          <w:sz w:val="24"/>
          <w:szCs w:val="24"/>
        </w:rPr>
        <w:t>8,819</w:t>
      </w:r>
      <w:r w:rsidRPr="00FA31D6">
        <w:rPr>
          <w:rFonts w:ascii="Arial" w:hAnsi="Arial" w:cs="Arial"/>
          <w:b/>
          <w:sz w:val="24"/>
          <w:szCs w:val="24"/>
        </w:rPr>
        <w:t xml:space="preserve"> FFPs </w:t>
      </w:r>
      <w:r w:rsidRPr="00FA31D6">
        <w:rPr>
          <w:rFonts w:ascii="Arial" w:hAnsi="Arial" w:cs="Arial"/>
          <w:sz w:val="24"/>
          <w:szCs w:val="24"/>
        </w:rPr>
        <w:t>amounting to</w:t>
      </w:r>
      <w:r w:rsidRPr="00FA31D6">
        <w:rPr>
          <w:rFonts w:ascii="Arial" w:hAnsi="Arial" w:cs="Arial"/>
          <w:b/>
          <w:sz w:val="24"/>
          <w:szCs w:val="24"/>
        </w:rPr>
        <w:t xml:space="preserve"> Php </w:t>
      </w:r>
      <w:r w:rsidR="00595836" w:rsidRPr="00595836">
        <w:rPr>
          <w:rFonts w:ascii="Arial" w:hAnsi="Arial" w:cs="Arial"/>
          <w:b/>
          <w:sz w:val="24"/>
          <w:szCs w:val="24"/>
        </w:rPr>
        <w:t>2</w:t>
      </w:r>
      <w:r w:rsidR="00595836">
        <w:rPr>
          <w:rFonts w:ascii="Arial" w:hAnsi="Arial" w:cs="Arial"/>
          <w:b/>
          <w:sz w:val="24"/>
          <w:szCs w:val="24"/>
        </w:rPr>
        <w:t>,</w:t>
      </w:r>
      <w:r w:rsidR="00595836" w:rsidRPr="00595836">
        <w:rPr>
          <w:rFonts w:ascii="Arial" w:hAnsi="Arial" w:cs="Arial"/>
          <w:b/>
          <w:sz w:val="24"/>
          <w:szCs w:val="24"/>
        </w:rPr>
        <w:t>708</w:t>
      </w:r>
      <w:r w:rsidR="00595836">
        <w:rPr>
          <w:rFonts w:ascii="Arial" w:hAnsi="Arial" w:cs="Arial"/>
          <w:b/>
          <w:sz w:val="24"/>
          <w:szCs w:val="24"/>
        </w:rPr>
        <w:t>,</w:t>
      </w:r>
      <w:r w:rsidR="00595836" w:rsidRPr="00595836">
        <w:rPr>
          <w:rFonts w:ascii="Arial" w:hAnsi="Arial" w:cs="Arial"/>
          <w:b/>
          <w:sz w:val="24"/>
          <w:szCs w:val="24"/>
        </w:rPr>
        <w:t>667.66</w:t>
      </w:r>
      <w:r w:rsidR="00595836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sz w:val="24"/>
          <w:szCs w:val="24"/>
        </w:rPr>
        <w:t>are stored in DPWH Tiniwisan Warehouse, Butuan City.</w:t>
      </w:r>
    </w:p>
    <w:p w:rsidR="00475635" w:rsidRPr="00536D9A" w:rsidRDefault="00475635" w:rsidP="00475635">
      <w:pPr>
        <w:pStyle w:val="ListParagraph"/>
        <w:ind w:left="1440"/>
        <w:jc w:val="both"/>
        <w:rPr>
          <w:rFonts w:ascii="Arial" w:hAnsi="Arial" w:cs="Arial"/>
          <w:sz w:val="18"/>
          <w:szCs w:val="24"/>
        </w:rPr>
      </w:pPr>
    </w:p>
    <w:p w:rsidR="00FA31D6" w:rsidRPr="00FA31D6" w:rsidRDefault="00FA31D6" w:rsidP="00FA3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The FO has available non-food items such as Blankets, Dignity Kits, Hygiene Kits, Kitchen Kits, Family Kits, Laminated Sacks, Malong, Mosquito nets, Plastic Mats and etc. amounting to </w:t>
      </w:r>
      <w:r w:rsidRPr="00FA31D6">
        <w:rPr>
          <w:rFonts w:ascii="Arial" w:hAnsi="Arial" w:cs="Arial"/>
          <w:b/>
          <w:sz w:val="24"/>
          <w:szCs w:val="24"/>
        </w:rPr>
        <w:t>Php 9,909,303.80.</w:t>
      </w:r>
    </w:p>
    <w:p w:rsidR="00C91878" w:rsidRPr="00E80449" w:rsidRDefault="00FA31D6" w:rsidP="00E804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Presently</w:t>
      </w:r>
      <w:r w:rsidR="00E16D0D">
        <w:rPr>
          <w:rFonts w:ascii="Arial" w:hAnsi="Arial" w:cs="Arial"/>
          <w:sz w:val="24"/>
          <w:szCs w:val="24"/>
        </w:rPr>
        <w:t>,</w:t>
      </w:r>
      <w:r w:rsidRPr="00FA31D6">
        <w:rPr>
          <w:rFonts w:ascii="Arial" w:hAnsi="Arial" w:cs="Arial"/>
          <w:sz w:val="24"/>
          <w:szCs w:val="24"/>
        </w:rPr>
        <w:t xml:space="preserve"> the FO has a total amount of</w:t>
      </w:r>
      <w:r w:rsidR="00DB1823">
        <w:rPr>
          <w:rFonts w:ascii="Arial" w:hAnsi="Arial" w:cs="Arial"/>
          <w:b/>
          <w:sz w:val="24"/>
          <w:szCs w:val="24"/>
        </w:rPr>
        <w:t xml:space="preserve"> Php </w:t>
      </w:r>
      <w:r w:rsidR="00DB1823" w:rsidRPr="00DB1823">
        <w:rPr>
          <w:rFonts w:ascii="Arial" w:hAnsi="Arial" w:cs="Arial"/>
          <w:b/>
          <w:sz w:val="24"/>
          <w:szCs w:val="24"/>
        </w:rPr>
        <w:t xml:space="preserve">1,929,566.75 </w:t>
      </w:r>
      <w:r w:rsidRPr="00FA31D6">
        <w:rPr>
          <w:rFonts w:ascii="Arial" w:hAnsi="Arial" w:cs="Arial"/>
          <w:sz w:val="24"/>
          <w:szCs w:val="24"/>
        </w:rPr>
        <w:t>standby fund available.</w:t>
      </w:r>
    </w:p>
    <w:p w:rsidR="00C91878" w:rsidRPr="00E80449" w:rsidRDefault="00C91878" w:rsidP="00E80449">
      <w:pPr>
        <w:jc w:val="both"/>
        <w:rPr>
          <w:rFonts w:ascii="Arial" w:hAnsi="Arial" w:cs="Arial"/>
          <w:b/>
          <w:sz w:val="24"/>
          <w:szCs w:val="24"/>
        </w:rPr>
      </w:pPr>
      <w:r w:rsidRPr="00E80449">
        <w:rPr>
          <w:rFonts w:ascii="Arial" w:hAnsi="Arial" w:cs="Arial"/>
          <w:b/>
          <w:sz w:val="24"/>
          <w:szCs w:val="24"/>
        </w:rPr>
        <w:t>Actions Taken</w:t>
      </w:r>
    </w:p>
    <w:p w:rsidR="00C57269" w:rsidRDefault="00C57269" w:rsidP="00E92D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DSWD Field Office Caraga </w:t>
      </w:r>
      <w:r w:rsidR="00536D9A">
        <w:rPr>
          <w:rFonts w:ascii="Arial" w:hAnsi="Arial" w:cs="Arial"/>
          <w:sz w:val="24"/>
          <w:szCs w:val="24"/>
        </w:rPr>
        <w:t>thru the</w:t>
      </w:r>
      <w:r>
        <w:rPr>
          <w:rFonts w:ascii="Arial" w:hAnsi="Arial" w:cs="Arial"/>
          <w:sz w:val="24"/>
          <w:szCs w:val="24"/>
        </w:rPr>
        <w:t xml:space="preserve"> Quick Response Team</w:t>
      </w:r>
      <w:r w:rsidR="00536D9A">
        <w:rPr>
          <w:rFonts w:ascii="Arial" w:hAnsi="Arial" w:cs="Arial"/>
          <w:sz w:val="24"/>
          <w:szCs w:val="24"/>
        </w:rPr>
        <w:t xml:space="preserve"> is continuously monitoring TD Samuel</w:t>
      </w:r>
      <w:r>
        <w:rPr>
          <w:rFonts w:ascii="Arial" w:hAnsi="Arial" w:cs="Arial"/>
          <w:sz w:val="24"/>
          <w:szCs w:val="24"/>
        </w:rPr>
        <w:t xml:space="preserve"> in close coordination with the LSWDOs and LDRRMOs</w:t>
      </w:r>
      <w:r w:rsidR="00536D9A">
        <w:rPr>
          <w:rFonts w:ascii="Arial" w:hAnsi="Arial" w:cs="Arial"/>
          <w:sz w:val="24"/>
          <w:szCs w:val="24"/>
        </w:rPr>
        <w:t>.</w:t>
      </w:r>
    </w:p>
    <w:p w:rsidR="00C91878" w:rsidRDefault="00C91878" w:rsidP="00AE1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31D6" w:rsidRPr="00FA31D6" w:rsidRDefault="00FA31D6" w:rsidP="00AE1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For your information and ready reference.</w:t>
      </w:r>
    </w:p>
    <w:p w:rsidR="00FA31D6" w:rsidRPr="00FA31D6" w:rsidRDefault="00FA31D6" w:rsidP="00FA31D6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4516D9" w:rsidRDefault="004516D9" w:rsidP="00FA31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E25A6" w:rsidRDefault="008E25A6" w:rsidP="00FA31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A31D6" w:rsidRPr="00FA31D6" w:rsidRDefault="00FA31D6" w:rsidP="00FA31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b/>
          <w:sz w:val="24"/>
          <w:szCs w:val="24"/>
        </w:rPr>
        <w:t>MITA CHUCHI GUPANA – LIM</w:t>
      </w:r>
    </w:p>
    <w:p w:rsidR="00FA31D6" w:rsidRPr="00FA31D6" w:rsidRDefault="00FA31D6" w:rsidP="00FA31D6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0E4A93" w:rsidRDefault="000E4A93" w:rsidP="00FA31D6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282FC1" w:rsidRPr="00282FC1" w:rsidRDefault="00282FC1" w:rsidP="00FA31D6">
      <w:pPr>
        <w:spacing w:after="0" w:line="240" w:lineRule="auto"/>
        <w:contextualSpacing/>
        <w:jc w:val="both"/>
        <w:rPr>
          <w:rFonts w:ascii="Arial" w:eastAsia="Arial" w:hAnsi="Arial" w:cs="Arial"/>
          <w:sz w:val="16"/>
          <w:szCs w:val="24"/>
        </w:rPr>
      </w:pPr>
      <w:r w:rsidRPr="00282FC1">
        <w:rPr>
          <w:rFonts w:ascii="Arial" w:eastAsia="Arial" w:hAnsi="Arial" w:cs="Arial"/>
          <w:sz w:val="16"/>
          <w:szCs w:val="24"/>
        </w:rPr>
        <w:t>MCGL/NTM/RMT/AMA/jlo</w:t>
      </w:r>
    </w:p>
    <w:sectPr w:rsidR="00282FC1" w:rsidRPr="00282FC1" w:rsidSect="00536D9A">
      <w:headerReference w:type="default" r:id="rId7"/>
      <w:footerReference w:type="default" r:id="rId8"/>
      <w:pgSz w:w="12240" w:h="18720" w:code="9"/>
      <w:pgMar w:top="1440" w:right="1440" w:bottom="1440" w:left="1440" w:header="36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ED1" w:rsidRDefault="00D66ED1" w:rsidP="00FA31D6">
      <w:pPr>
        <w:spacing w:after="0" w:line="240" w:lineRule="auto"/>
      </w:pPr>
      <w:r>
        <w:separator/>
      </w:r>
    </w:p>
  </w:endnote>
  <w:endnote w:type="continuationSeparator" w:id="0">
    <w:p w:rsidR="00D66ED1" w:rsidRDefault="00D66ED1" w:rsidP="00FA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 Black">
    <w:altName w:val="Myriad Pro Light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E4" w:rsidRDefault="00D66ED1" w:rsidP="008D4C1E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rPr>
        <w:sz w:val="16"/>
        <w:szCs w:val="16"/>
      </w:rPr>
    </w:pPr>
  </w:p>
  <w:p w:rsidR="00470FE4" w:rsidRDefault="00187598" w:rsidP="00DD7D90">
    <w:pPr>
      <w:tabs>
        <w:tab w:val="left" w:pos="2371"/>
        <w:tab w:val="center" w:pos="5233"/>
      </w:tabs>
      <w:spacing w:after="0" w:line="240" w:lineRule="auto"/>
      <w:jc w:val="right"/>
      <w:rPr>
        <w:rFonts w:ascii="Arial" w:eastAsia="Arial" w:hAnsi="Arial" w:cs="Arial"/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865000">
      <w:rPr>
        <w:b/>
        <w:noProof/>
        <w:sz w:val="16"/>
        <w:szCs w:val="16"/>
      </w:rPr>
      <w:t>1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865000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DSWD Field Office Caraga </w:t>
    </w:r>
    <w:r w:rsidR="004841E2">
      <w:rPr>
        <w:sz w:val="16"/>
        <w:szCs w:val="16"/>
      </w:rPr>
      <w:t>Update Report # 5</w:t>
    </w:r>
    <w:r w:rsidR="00FA31D6">
      <w:rPr>
        <w:sz w:val="16"/>
        <w:szCs w:val="16"/>
      </w:rPr>
      <w:t xml:space="preserve"> </w:t>
    </w:r>
    <w:r w:rsidR="00542D19">
      <w:rPr>
        <w:sz w:val="16"/>
        <w:szCs w:val="16"/>
      </w:rPr>
      <w:t>TD Samuel November 20</w:t>
    </w:r>
    <w:r w:rsidR="00200466">
      <w:rPr>
        <w:sz w:val="16"/>
        <w:szCs w:val="16"/>
      </w:rPr>
      <w:t>, 2018</w:t>
    </w:r>
    <w:r w:rsidR="00BE16B4">
      <w:rPr>
        <w:sz w:val="16"/>
        <w:szCs w:val="16"/>
      </w:rPr>
      <w:t xml:space="preserve"> as of </w:t>
    </w:r>
    <w:r w:rsidR="004841E2">
      <w:rPr>
        <w:sz w:val="16"/>
        <w:szCs w:val="16"/>
      </w:rPr>
      <w:t>05:00P</w:t>
    </w:r>
    <w:r w:rsidR="00542D19">
      <w:rPr>
        <w:sz w:val="16"/>
        <w:szCs w:val="16"/>
      </w:rPr>
      <w:t>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ED1" w:rsidRDefault="00D66ED1" w:rsidP="00FA31D6">
      <w:pPr>
        <w:spacing w:after="0" w:line="240" w:lineRule="auto"/>
      </w:pPr>
      <w:r>
        <w:separator/>
      </w:r>
    </w:p>
  </w:footnote>
  <w:footnote w:type="continuationSeparator" w:id="0">
    <w:p w:rsidR="00D66ED1" w:rsidRDefault="00D66ED1" w:rsidP="00FA3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13" w:rsidRDefault="00D66ED1" w:rsidP="003C1C13">
    <w:pPr>
      <w:tabs>
        <w:tab w:val="center" w:pos="4680"/>
        <w:tab w:val="right" w:pos="9360"/>
      </w:tabs>
      <w:spacing w:after="0" w:line="240" w:lineRule="auto"/>
      <w:rPr>
        <w:noProof/>
      </w:rPr>
    </w:pPr>
  </w:p>
  <w:p w:rsidR="003C1C13" w:rsidRDefault="00187598" w:rsidP="003C1C13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3F1E657" wp14:editId="021E78A4">
          <wp:simplePos x="0" y="0"/>
          <wp:positionH relativeFrom="column">
            <wp:posOffset>4286250</wp:posOffset>
          </wp:positionH>
          <wp:positionV relativeFrom="paragraph">
            <wp:posOffset>57785</wp:posOffset>
          </wp:positionV>
          <wp:extent cx="1514475" cy="539750"/>
          <wp:effectExtent l="0" t="0" r="9525" b="0"/>
          <wp:wrapTight wrapText="bothSides">
            <wp:wrapPolygon edited="0">
              <wp:start x="15487" y="0"/>
              <wp:lineTo x="2445" y="5336"/>
              <wp:lineTo x="0" y="6861"/>
              <wp:lineTo x="0" y="20584"/>
              <wp:lineTo x="14943" y="20584"/>
              <wp:lineTo x="18747" y="20584"/>
              <wp:lineTo x="21192" y="16009"/>
              <wp:lineTo x="21192" y="12960"/>
              <wp:lineTo x="19019" y="12960"/>
              <wp:lineTo x="21464" y="8386"/>
              <wp:lineTo x="21464" y="5336"/>
              <wp:lineTo x="18204" y="0"/>
              <wp:lineTo x="15487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ROMIC Logotype (Revis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64" t="-5590" r="6452"/>
                  <a:stretch/>
                </pic:blipFill>
                <pic:spPr bwMode="auto">
                  <a:xfrm>
                    <a:off x="0" y="0"/>
                    <a:ext cx="1514475" cy="539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606E7AB" wp14:editId="31F27EE4">
          <wp:simplePos x="0" y="0"/>
          <wp:positionH relativeFrom="column">
            <wp:posOffset>-76200</wp:posOffset>
          </wp:positionH>
          <wp:positionV relativeFrom="paragraph">
            <wp:posOffset>114935</wp:posOffset>
          </wp:positionV>
          <wp:extent cx="1619250" cy="488315"/>
          <wp:effectExtent l="0" t="0" r="0" b="6985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2755"/>
                  <a:stretch/>
                </pic:blipFill>
                <pic:spPr bwMode="auto">
                  <a:xfrm>
                    <a:off x="0" y="0"/>
                    <a:ext cx="1619250" cy="488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786" w:rsidRPr="00047786" w:rsidRDefault="00D66ED1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  <w:sz w:val="12"/>
      </w:rPr>
    </w:pPr>
  </w:p>
  <w:p w:rsidR="00B46622" w:rsidRDefault="00187598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</w:rPr>
    </w:pPr>
    <w:r>
      <w:rPr>
        <w:b/>
      </w:rPr>
      <w:t xml:space="preserve">     </w:t>
    </w:r>
  </w:p>
  <w:p w:rsidR="00B46622" w:rsidRDefault="00D66ED1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Source Sans Pro Black" w:hAnsi="Source Sans Pro Black"/>
        <w:b/>
        <w:color w:val="333399"/>
        <w:sz w:val="28"/>
      </w:rPr>
    </w:pPr>
  </w:p>
  <w:p w:rsidR="003C1C13" w:rsidRPr="00B46622" w:rsidRDefault="00187598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Arial Narrow" w:hAnsi="Arial Narrow" w:cs="Arial"/>
        <w:b/>
        <w:color w:val="333399"/>
        <w:sz w:val="24"/>
        <w:szCs w:val="24"/>
      </w:rPr>
    </w:pPr>
    <w:r w:rsidRPr="00B46622">
      <w:rPr>
        <w:rFonts w:ascii="Arial Narrow" w:hAnsi="Arial Narrow" w:cs="Arial"/>
        <w:b/>
        <w:color w:val="333399"/>
        <w:sz w:val="24"/>
        <w:szCs w:val="24"/>
      </w:rPr>
      <w:t xml:space="preserve">     CARAGA REGION</w:t>
    </w:r>
  </w:p>
  <w:p w:rsidR="00470FE4" w:rsidRPr="003C1C13" w:rsidRDefault="00D66ED1" w:rsidP="003C1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43DC7"/>
    <w:multiLevelType w:val="hybridMultilevel"/>
    <w:tmpl w:val="B68A47BA"/>
    <w:lvl w:ilvl="0" w:tplc="D70A429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C23F15"/>
    <w:multiLevelType w:val="hybridMultilevel"/>
    <w:tmpl w:val="FA66D9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B0F2E"/>
    <w:multiLevelType w:val="hybridMultilevel"/>
    <w:tmpl w:val="300230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D6"/>
    <w:rsid w:val="00010795"/>
    <w:rsid w:val="00044C48"/>
    <w:rsid w:val="00050E24"/>
    <w:rsid w:val="000616B9"/>
    <w:rsid w:val="000A5F7C"/>
    <w:rsid w:val="000B4642"/>
    <w:rsid w:val="000C3574"/>
    <w:rsid w:val="000C775A"/>
    <w:rsid w:val="000E4A93"/>
    <w:rsid w:val="00116449"/>
    <w:rsid w:val="00117472"/>
    <w:rsid w:val="001215EE"/>
    <w:rsid w:val="00135D5C"/>
    <w:rsid w:val="00160DA8"/>
    <w:rsid w:val="00187598"/>
    <w:rsid w:val="001A1F9C"/>
    <w:rsid w:val="001E5230"/>
    <w:rsid w:val="001F737A"/>
    <w:rsid w:val="00200466"/>
    <w:rsid w:val="00242B77"/>
    <w:rsid w:val="00265BFD"/>
    <w:rsid w:val="00282FC1"/>
    <w:rsid w:val="002832BD"/>
    <w:rsid w:val="00290A11"/>
    <w:rsid w:val="002B3193"/>
    <w:rsid w:val="002C5632"/>
    <w:rsid w:val="00316707"/>
    <w:rsid w:val="00337B25"/>
    <w:rsid w:val="0035391E"/>
    <w:rsid w:val="00362246"/>
    <w:rsid w:val="0037009A"/>
    <w:rsid w:val="00372675"/>
    <w:rsid w:val="0037594A"/>
    <w:rsid w:val="003918C5"/>
    <w:rsid w:val="0039222B"/>
    <w:rsid w:val="003A4A0B"/>
    <w:rsid w:val="003A50F9"/>
    <w:rsid w:val="003B54EC"/>
    <w:rsid w:val="003C1DEE"/>
    <w:rsid w:val="003F13D4"/>
    <w:rsid w:val="004516D9"/>
    <w:rsid w:val="00475635"/>
    <w:rsid w:val="004841E2"/>
    <w:rsid w:val="004A2B55"/>
    <w:rsid w:val="004A653D"/>
    <w:rsid w:val="004B12A4"/>
    <w:rsid w:val="004B21E4"/>
    <w:rsid w:val="005304C3"/>
    <w:rsid w:val="00536D9A"/>
    <w:rsid w:val="00541232"/>
    <w:rsid w:val="00542D19"/>
    <w:rsid w:val="00544E4F"/>
    <w:rsid w:val="0057751E"/>
    <w:rsid w:val="00595836"/>
    <w:rsid w:val="005A5988"/>
    <w:rsid w:val="005E7C2E"/>
    <w:rsid w:val="00602E34"/>
    <w:rsid w:val="0060376E"/>
    <w:rsid w:val="00605668"/>
    <w:rsid w:val="00644A38"/>
    <w:rsid w:val="006A39AD"/>
    <w:rsid w:val="006D59BD"/>
    <w:rsid w:val="006D694C"/>
    <w:rsid w:val="006E11F3"/>
    <w:rsid w:val="007022D6"/>
    <w:rsid w:val="00702900"/>
    <w:rsid w:val="00703BB1"/>
    <w:rsid w:val="00714388"/>
    <w:rsid w:val="007466D0"/>
    <w:rsid w:val="00760575"/>
    <w:rsid w:val="00776B10"/>
    <w:rsid w:val="007B1FCC"/>
    <w:rsid w:val="007D01AA"/>
    <w:rsid w:val="008221C7"/>
    <w:rsid w:val="00824871"/>
    <w:rsid w:val="00865000"/>
    <w:rsid w:val="00881DB9"/>
    <w:rsid w:val="00893FA3"/>
    <w:rsid w:val="008C28E5"/>
    <w:rsid w:val="008D1816"/>
    <w:rsid w:val="008E25A6"/>
    <w:rsid w:val="008E271F"/>
    <w:rsid w:val="0093510B"/>
    <w:rsid w:val="00967D35"/>
    <w:rsid w:val="00972258"/>
    <w:rsid w:val="00973E70"/>
    <w:rsid w:val="00974357"/>
    <w:rsid w:val="00986132"/>
    <w:rsid w:val="009C0042"/>
    <w:rsid w:val="00A051AC"/>
    <w:rsid w:val="00A11626"/>
    <w:rsid w:val="00A52713"/>
    <w:rsid w:val="00A7285B"/>
    <w:rsid w:val="00A80DF4"/>
    <w:rsid w:val="00A8432E"/>
    <w:rsid w:val="00AE16AF"/>
    <w:rsid w:val="00AF2F51"/>
    <w:rsid w:val="00B0122F"/>
    <w:rsid w:val="00B06E10"/>
    <w:rsid w:val="00B1119B"/>
    <w:rsid w:val="00B162E9"/>
    <w:rsid w:val="00B300E6"/>
    <w:rsid w:val="00B336AB"/>
    <w:rsid w:val="00B507BE"/>
    <w:rsid w:val="00B819FA"/>
    <w:rsid w:val="00B92812"/>
    <w:rsid w:val="00B95A88"/>
    <w:rsid w:val="00BA0263"/>
    <w:rsid w:val="00BE16B4"/>
    <w:rsid w:val="00BF4598"/>
    <w:rsid w:val="00BF4B3D"/>
    <w:rsid w:val="00C07A5D"/>
    <w:rsid w:val="00C173DE"/>
    <w:rsid w:val="00C37E9D"/>
    <w:rsid w:val="00C57269"/>
    <w:rsid w:val="00C640AB"/>
    <w:rsid w:val="00C91878"/>
    <w:rsid w:val="00CB4DA6"/>
    <w:rsid w:val="00CC7BAC"/>
    <w:rsid w:val="00CF3526"/>
    <w:rsid w:val="00D15A58"/>
    <w:rsid w:val="00D66ED1"/>
    <w:rsid w:val="00D757E5"/>
    <w:rsid w:val="00D75B79"/>
    <w:rsid w:val="00D77AA6"/>
    <w:rsid w:val="00D832EC"/>
    <w:rsid w:val="00D87BA3"/>
    <w:rsid w:val="00DB1823"/>
    <w:rsid w:val="00DD6DE3"/>
    <w:rsid w:val="00DF14C6"/>
    <w:rsid w:val="00E16D0D"/>
    <w:rsid w:val="00E269C3"/>
    <w:rsid w:val="00E35A0E"/>
    <w:rsid w:val="00E44936"/>
    <w:rsid w:val="00E632B9"/>
    <w:rsid w:val="00E73248"/>
    <w:rsid w:val="00E80449"/>
    <w:rsid w:val="00E92D2B"/>
    <w:rsid w:val="00EB49FF"/>
    <w:rsid w:val="00F13AF1"/>
    <w:rsid w:val="00F22564"/>
    <w:rsid w:val="00F22C13"/>
    <w:rsid w:val="00F23288"/>
    <w:rsid w:val="00F44B99"/>
    <w:rsid w:val="00F71B03"/>
    <w:rsid w:val="00FA31D6"/>
    <w:rsid w:val="00FA5558"/>
    <w:rsid w:val="00FB65B6"/>
    <w:rsid w:val="00FD20F7"/>
    <w:rsid w:val="00FF35FC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3EBE"/>
  <w15:chartTrackingRefBased/>
  <w15:docId w15:val="{6FEF6536-B4A6-416B-8F89-1956FD6E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31D6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D6"/>
    <w:rPr>
      <w:rFonts w:ascii="Calibri" w:eastAsia="Calibri" w:hAnsi="Calibri" w:cs="Calibri"/>
      <w:color w:val="000000"/>
      <w:lang w:eastAsia="en-PH"/>
    </w:rPr>
  </w:style>
  <w:style w:type="paragraph" w:styleId="ListParagraph">
    <w:name w:val="List Paragraph"/>
    <w:basedOn w:val="Normal"/>
    <w:uiPriority w:val="34"/>
    <w:qFormat/>
    <w:rsid w:val="00FA31D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eastAsia="Times New Roman" w:cs="Times New Roman"/>
      <w:color w:val="auto"/>
    </w:rPr>
  </w:style>
  <w:style w:type="table" w:styleId="TableGrid">
    <w:name w:val="Table Grid"/>
    <w:basedOn w:val="TableNormal"/>
    <w:uiPriority w:val="39"/>
    <w:rsid w:val="00FA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A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D6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B3D"/>
    <w:rPr>
      <w:rFonts w:ascii="Segoe UI" w:eastAsia="Calibri" w:hAnsi="Segoe UI" w:cs="Segoe UI"/>
      <w:color w:val="000000"/>
      <w:sz w:val="18"/>
      <w:szCs w:val="1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Julieto L. Ompad</dc:creator>
  <cp:keywords/>
  <dc:description/>
  <cp:lastModifiedBy>Julieto L. Ompad</cp:lastModifiedBy>
  <cp:revision>132</cp:revision>
  <cp:lastPrinted>2018-11-20T08:26:00Z</cp:lastPrinted>
  <dcterms:created xsi:type="dcterms:W3CDTF">2018-11-19T00:34:00Z</dcterms:created>
  <dcterms:modified xsi:type="dcterms:W3CDTF">2018-11-20T08:27:00Z</dcterms:modified>
</cp:coreProperties>
</file>