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Malgun Gothic" w:cs="Malgun Gothic" w:eastAsia="Malgun Gothic" w:hAnsi="Malgun Gothic"/>
          <w:b/>
          <w:bCs/>
          <w:color w:val="1F4E79"/>
          <w:sz w:val="52"/>
          <w:szCs w:val="52"/>
        </w:rPr>
        <w:t xml:space="preserve">AI 발전의 현황과 과제</w:t>
      </w:r>
    </w:p>
    <w:p>
      <w:pPr>
        <w:spacing w:after="1200"/>
        <w:jc w:val="center"/>
      </w:pPr>
      <w:r>
        <w:rPr>
          <w:rFonts w:ascii="Malgun Gothic" w:cs="Malgun Gothic" w:eastAsia="Malgun Gothic" w:hAnsi="Malgun Gothic"/>
          <w:color w:val="404040"/>
          <w:sz w:val="28"/>
          <w:szCs w:val="28"/>
        </w:rPr>
        <w:t xml:space="preserve">역량·에이전트·투자·사회적 영향·규제를 중심으로</w:t>
      </w:r>
    </w:p>
    <w:p>
      <w:pPr>
        <w:jc w:val="center"/>
      </w:pPr>
      <w:r>
        <w:rPr>
          <w:rFonts w:ascii="Malgun Gothic" w:cs="Malgun Gothic" w:eastAsia="Malgun Gothic" w:hAnsi="Malgun Gothic"/>
          <w:sz w:val="24"/>
          <w:szCs w:val="24"/>
        </w:rPr>
        <w:t xml:space="preserve">2026년 10월</w:t>
      </w:r>
    </w:p>
    <w:p>
      <w:pPr>
        <w:jc w:val="center"/>
      </w:pPr>
      <w:r>
        <w:rPr>
          <w:rFonts w:ascii="Malgun Gothic" w:cs="Malgun Gothic" w:eastAsia="Malgun Gothic" w:hAnsi="Malgun Gothic"/>
          <w:color w:val="7F7F7F"/>
          <w:sz w:val="20"/>
          <w:szCs w:val="20"/>
        </w:rPr>
        <w:t xml:space="preserve">자료: research/ai-development-research.md</w:t>
      </w:r>
    </w:p>
    <w:p>
      <w:r>
        <w:br w:type="page"/>
      </w:r>
    </w:p>
    <w:p>
      <w:pPr>
        <w:spacing w:after="200"/>
      </w:pPr>
      <w:r>
        <w:rPr>
          <w:rFonts w:ascii="Malgun Gothic" w:cs="Malgun Gothic" w:eastAsia="Malgun Gothic" w:hAnsi="Malgun Gothic"/>
          <w:b/>
          <w:bCs/>
          <w:color w:val="1F4E79"/>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Ⅰ. 서론</w:t>
      </w:r>
    </w:p>
    <w:p>
      <w:pPr>
        <w:pStyle w:val="Heading2"/>
      </w:pPr>
      <w:r>
        <w:t xml:space="preserve">1. 연구 배경</w:t>
      </w:r>
    </w:p>
    <w:p>
      <w:pPr>
        <w:spacing w:after="160" w:line="360"/>
        <w:jc w:val="both"/>
      </w:pPr>
      <w:r>
        <w:rPr>
          <w:rFonts w:ascii="Malgun Gothic" w:cs="Malgun Gothic" w:eastAsia="Malgun Gothic" w:hAnsi="Malgun Gothic"/>
          <w:sz w:val="22"/>
          <w:szCs w:val="22"/>
        </w:rPr>
        <w:t xml:space="preserve">2022년 말 생성형 AI가 대중에 공개된 이후 불과 3~4년 만에 AI는 연구실의 기술에서 사회 전반의 기반 기술로 자리 잡았다. 생성형 AI는 3년 만에 전 세계 인구의 53%가 사용하게 되어 개인용 컴퓨터나 인터넷보다 빠르게 확산되었고, 조사 대상 기업의 88%가 이미 AI를 업무에 활용하고 있다. 동시에 대규모 투자, 전력 수요 급증, 일자리 변화, 안전성과 규제 문제 등 기술 발전이 불러온 파급 효과도 커지고 있다.</w:t>
      </w:r>
    </w:p>
    <w:p>
      <w:pPr>
        <w:spacing w:after="160" w:line="360"/>
        <w:jc w:val="both"/>
      </w:pPr>
      <w:r>
        <w:rPr>
          <w:rFonts w:ascii="Malgun Gothic" w:cs="Malgun Gothic" w:eastAsia="Malgun Gothic" w:hAnsi="Malgun Gothic"/>
          <w:sz w:val="22"/>
          <w:szCs w:val="22"/>
        </w:rPr>
        <w:t xml:space="preserve">이러한 상황에서 AI의 발전 수준과 그것이 사회·경제에 미치는 영향을 객관적인 자료에 근거해 정리하는 일은 개인과 기업, 정책 입안자 모두에게 필요하다.</w:t>
      </w:r>
    </w:p>
    <w:p>
      <w:pPr>
        <w:pStyle w:val="Heading2"/>
      </w:pPr>
      <w:r>
        <w:t xml:space="preserve">2. 연구 목적 및 방법</w:t>
      </w:r>
    </w:p>
    <w:p>
      <w:pPr>
        <w:spacing w:after="160" w:line="360"/>
        <w:jc w:val="both"/>
      </w:pPr>
      <w:r>
        <w:rPr>
          <w:rFonts w:ascii="Malgun Gothic" w:cs="Malgun Gothic" w:eastAsia="Malgun Gothic" w:hAnsi="Malgun Gothic"/>
          <w:sz w:val="22"/>
          <w:szCs w:val="22"/>
        </w:rPr>
        <w:t xml:space="preserve">본 보고서는 2026년 10월 현재 AI 발전의 현황을 종합적으로 살펴보고, 앞으로의 과제를 도출하는 것을 목적으로 한다. 이를 위해 Stanford HAI의 「AI Index 2026」, 「International AI Safety Report 2026」, 국제에너지기구(IEA) 자료, PwC·S&amp;P Global의 고용 보고서, 각국 규제 관련 자료 등 공개 자료를 조사하여 research 폴더에 정리하였고, 이 정리본을 바탕으로 보고서를 작성하였다. 일부 수치는 2차 요약 자료에서 인용하였으므로 경향을 파악하는 참고 수치로 보아야 한다.</w:t>
      </w:r>
    </w:p>
    <w:p>
      <w:pPr>
        <w:spacing w:after="160" w:line="360"/>
        <w:jc w:val="both"/>
      </w:pPr>
      <w:r>
        <w:rPr>
          <w:rFonts w:ascii="Malgun Gothic" w:cs="Malgun Gothic" w:eastAsia="Malgun Gothic" w:hAnsi="Malgun Gothic"/>
          <w:sz w:val="22"/>
          <w:szCs w:val="22"/>
        </w:rPr>
        <w:t xml:space="preserve">본론에서는 ① 기술 역량, ② AI 에이전트, ③ 투자와 인프라, ④ 에너지, ⑤ 과학·의료, ⑥ 노동 시장, ⑦ 위험과 안전, ⑧ 규제의 여덟 가지 측면을 차례로 다룬다.</w:t>
      </w:r>
    </w:p>
    <w:p>
      <w:r>
        <w:br w:type="page"/>
      </w:r>
    </w:p>
    <w:p>
      <w:pPr>
        <w:pStyle w:val="Heading1"/>
      </w:pPr>
      <w:r>
        <w:t xml:space="preserve">Ⅱ. 본론</w:t>
      </w:r>
    </w:p>
    <w:p>
      <w:pPr>
        <w:pStyle w:val="Heading2"/>
      </w:pPr>
      <w:r>
        <w:t xml:space="preserve">1. 기술 역량: 정체가 아닌 가속</w:t>
      </w:r>
    </w:p>
    <w:p>
      <w:pPr>
        <w:spacing w:after="160" w:line="360"/>
        <w:jc w:val="both"/>
      </w:pPr>
      <w:r>
        <w:rPr>
          <w:rFonts w:ascii="Malgun Gothic" w:cs="Malgun Gothic" w:eastAsia="Malgun Gothic" w:hAnsi="Malgun Gothic"/>
          <w:sz w:val="22"/>
          <w:szCs w:val="22"/>
        </w:rPr>
        <w:t xml:space="preserve">"AI 발전이 한계에 부딪혔다"는 일각의 주장과 달리, 최근 자료는 역량 향상이 오히려 가속하고 있음을 보여 준다. 2025년 주목할 만한 최첨단 모델의 90% 이상이 기업에서 나왔으며, 여러 모델이 박사 수준 과학 문제, 멀티모달 추론, 경시대회 수학에서 인간 기준선과 같거나 이를 넘어섰다.</w:t>
      </w:r>
    </w:p>
    <w:p>
      <w:pPr>
        <w:spacing w:after="160" w:line="360"/>
        <w:jc w:val="both"/>
      </w:pPr>
      <w:r>
        <w:rPr>
          <w:rFonts w:ascii="Malgun Gothic" w:cs="Malgun Gothic" w:eastAsia="Malgun Gothic" w:hAnsi="Malgun Gothic"/>
          <w:sz w:val="22"/>
          <w:szCs w:val="22"/>
        </w:rPr>
        <w:t xml:space="preserve">특히 코딩 분야의 발전이 두드러진다. 실제 소프트웨어 문제 해결 능력을 측정하는 SWE-bench Verified에서 최고 성능은 1년 만에 약 60%에서 100%에 가까운 수준으로 올라섰다. 국가 간 경쟁 구도도 바뀌어, 2025년 2월 중국의 DeepSeek-R1이 미국 최고 모델과 잠시 동률을 이룬 뒤 양국이 선두를 여러 차례 주고받았고, 2026년 3월 기준 격차는 2.7%에 불과하다.</w:t>
      </w:r>
    </w:p>
    <w:p>
      <w:pPr>
        <w:spacing w:after="160" w:line="360"/>
        <w:jc w:val="both"/>
      </w:pPr>
      <w:r>
        <w:rPr>
          <w:rFonts w:ascii="Malgun Gothic" w:cs="Malgun Gothic" w:eastAsia="Malgun Gothic" w:hAnsi="Malgun Gothic"/>
          <w:sz w:val="22"/>
          <w:szCs w:val="22"/>
        </w:rPr>
        <w:t xml:space="preserve">다만 AI의 성능은 "들쭉날쭉(jagged)"하다는 한계가 있다. 법률·코딩·과학 등에서 전문가 수준에 이르렀음에도 일부 단순한 과제에서 실패하고, 여러 단계로 이루어진 긴 작업에서는 신뢰성이 떨어진다.</w:t>
      </w:r>
    </w:p>
    <w:p>
      <w:pPr>
        <w:pStyle w:val="Heading2"/>
      </w:pPr>
      <w:r>
        <w:t xml:space="preserve">2. AI 에이전트: 대화형 도구에서 업무 수행자로</w:t>
      </w:r>
    </w:p>
    <w:p>
      <w:pPr>
        <w:spacing w:after="160" w:line="360"/>
        <w:jc w:val="both"/>
      </w:pPr>
      <w:r>
        <w:rPr>
          <w:rFonts w:ascii="Malgun Gothic" w:cs="Malgun Gothic" w:eastAsia="Malgun Gothic" w:hAnsi="Malgun Gothic"/>
          <w:sz w:val="22"/>
          <w:szCs w:val="22"/>
        </w:rPr>
        <w:t xml:space="preserve">AI 발전의 무게중심은 질문에 답하는 챗봇에서 도구를 쓰고, 웹을 탐색하고, 컴퓨터를 조작해 실제 업무를 수행하는 "에이전트"로 옮겨가고 있다. 가트너는 2026년 말까지 기업용 애플리케이션의 40%가 업무 특화 에이전트를 포함할 것으로 예측하며, 이는 1년 전 5% 미만에서 크게 늘어난 수치다.</w:t>
      </w:r>
    </w:p>
    <w:p>
      <w:pPr>
        <w:spacing w:after="160" w:line="360"/>
        <w:jc w:val="both"/>
      </w:pPr>
      <w:r>
        <w:rPr>
          <w:rFonts w:ascii="Malgun Gothic" w:cs="Malgun Gothic" w:eastAsia="Malgun Gothic" w:hAnsi="Malgun Gothic"/>
          <w:sz w:val="22"/>
          <w:szCs w:val="22"/>
        </w:rPr>
        <w:t xml:space="preserve">그러나 도입 선언과 실제 활용 사이에는 큰 간극이 있다. 기업의 약 79%가 에이전트를 도입했다고 답했지만, 실제 운영 환경에서 활용하는 곳은 약 11%에 그친다. 파일럿의 약 88%가 운영 단계로 넘어가지 못하며, 주요 원인으로 평가 체계 부족(64%), 거버넌스 마찰(57%), 모델 신뢰성(51%)이 꼽힌다. 이에 대응해 전담 "AI 에이전트 책임자"를 두는 기업이 2024년 11%에서 56%로 늘어나는 등 조직 차원의 관리 체계가 빠르게 정비되고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지표</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수치</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에이전트 도입 응답 기업 비율</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약 79%</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실제 운영 환경 활용 비율</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약 11%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운영 단계에 이르지 못한 파일럿</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약 88%</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전담 에이전트 책임자 지정 기업</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56% (2024년 11%)</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2026년 AI 에이전트 시장 규모</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109억 달러 (연평균 49.6% 성장)</w:t>
            </w:r>
          </w:p>
        </w:tc>
      </w:tr>
    </w:tbl>
    <w:p>
      <w:pPr>
        <w:spacing w:after="240" w:before="80"/>
        <w:jc w:val="center"/>
      </w:pPr>
      <w:r>
        <w:rPr>
          <w:rFonts w:ascii="Malgun Gothic" w:cs="Malgun Gothic" w:eastAsia="Malgun Gothic" w:hAnsi="Malgun Gothic"/>
          <w:i/>
          <w:iCs/>
          <w:color w:val="595959"/>
          <w:sz w:val="18"/>
          <w:szCs w:val="18"/>
        </w:rPr>
        <w:t xml:space="preserve">[표 1] 기업의 AI 에이전트 도입 현황</w:t>
      </w:r>
    </w:p>
    <w:p>
      <w:pPr>
        <w:pStyle w:val="Heading2"/>
      </w:pPr>
      <w:r>
        <w:t xml:space="preserve">3. 투자와 인프라: 사상 최대 규모의 자본 투입</w:t>
      </w:r>
    </w:p>
    <w:p>
      <w:pPr>
        <w:spacing w:after="160" w:line="360"/>
        <w:jc w:val="both"/>
      </w:pPr>
      <w:r>
        <w:rPr>
          <w:rFonts w:ascii="Malgun Gothic" w:cs="Malgun Gothic" w:eastAsia="Malgun Gothic" w:hAnsi="Malgun Gothic"/>
          <w:sz w:val="22"/>
          <w:szCs w:val="22"/>
        </w:rPr>
        <w:t xml:space="preserve">AI에 대한 투자는 역사상 유례없는 수준이다. 전 세계 기업의 AI 투자는 5,817억 달러로 전년 대비 130% 증가했고, 생성형 AI 투자는 약 5배 늘어 1,709억 달러에 이르렀다.</w:t>
      </w:r>
    </w:p>
    <w:p>
      <w:pPr>
        <w:spacing w:after="160" w:line="360"/>
        <w:jc w:val="both"/>
      </w:pPr>
      <w:r>
        <w:rPr>
          <w:rFonts w:ascii="Malgun Gothic" w:cs="Malgun Gothic" w:eastAsia="Malgun Gothic" w:hAnsi="Malgun Gothic"/>
          <w:sz w:val="22"/>
          <w:szCs w:val="22"/>
        </w:rPr>
        <w:t xml:space="preserve">이 투자의 중심에는 데이터센터를 짓는 대형 클라우드 기업(하이퍼스케일러)이 있다. 4대 하이퍼스케일러의 2026년 설비투자 계획은 최대 약 6,300억 달러로 2025년보다 약 62% 많으며, 그중 약 75%가 서버·GPU·데이터센터 등 AI 인프라에 직접 투입된다. 골드만삭스는 2025~2027년 3년간 이들의 설비투자가 1조 1,500억 달러에 달해 직전 3년의 두 배를 넘을 것으로 내다본다.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기업</w:t>
            </w:r>
          </w:p>
        </w:tc>
        <w:tc>
          <w:tcPr>
            <w:tcW w:type="dxa" w:w="46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2026년 설비투자 계획</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아마존</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약 2,000억 달러</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알파벳(구글)</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1,750억~1,850억 달러</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메타</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1,150억~1,350억 달러</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마이크로소프트</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1,100억~1,200억 달러</w:t>
            </w:r>
          </w:p>
        </w:tc>
      </w:tr>
    </w:tbl>
    <w:p>
      <w:pPr>
        <w:spacing w:after="240" w:before="80"/>
        <w:jc w:val="center"/>
      </w:pPr>
      <w:r>
        <w:rPr>
          <w:rFonts w:ascii="Malgun Gothic" w:cs="Malgun Gothic" w:eastAsia="Malgun Gothic" w:hAnsi="Malgun Gothic"/>
          <w:i/>
          <w:iCs/>
          <w:color w:val="595959"/>
          <w:sz w:val="18"/>
          <w:szCs w:val="18"/>
        </w:rPr>
        <w:t xml:space="preserve">[표 2] 주요 하이퍼스케일러의 2026년 설비투자 계획</w:t>
      </w:r>
    </w:p>
    <w:p>
      <w:pPr>
        <w:pStyle w:val="Heading2"/>
      </w:pPr>
      <w:r>
        <w:t xml:space="preserve">4. 에너지: 새로운 병목</w:t>
      </w:r>
    </w:p>
    <w:p>
      <w:pPr>
        <w:spacing w:after="160" w:line="360"/>
        <w:jc w:val="both"/>
      </w:pPr>
      <w:r>
        <w:rPr>
          <w:rFonts w:ascii="Malgun Gothic" w:cs="Malgun Gothic" w:eastAsia="Malgun Gothic" w:hAnsi="Malgun Gothic"/>
          <w:sz w:val="22"/>
          <w:szCs w:val="22"/>
        </w:rPr>
        <w:t xml:space="preserve">AI 인프라 확대는 전력 수요의 급증으로 이어지고 있다. IEA에 따르면 2025년 데이터센터 전력 수요는 17%, AI 중심 데이터센터는 50% 증가해 전 세계 전력 수요 증가율(약 3%)을 크게 웃돌았다. 데이터센터 전력 사용량은 2030년까지 약 950TWh로 두 배가 되어 전 세계 수요의 약 3%를 차지할 전망이다. 미국만 보더라도 데이터센터 전력 수요가 31GW에서 41GW로 늘어날 것으로 예상된다. 이제 전력 확보가 AI 확장의 핵심 제약 조건이 되었고, 업계는 차세대 원자력 등 새로운 전력원에 주목하고 있다.</w:t>
      </w:r>
    </w:p>
    <w:p>
      <w:pPr>
        <w:pStyle w:val="Heading2"/>
      </w:pPr>
      <w:r>
        <w:t xml:space="preserve">5. 과학과 의료: 가시적인 성과</w:t>
      </w:r>
    </w:p>
    <w:p>
      <w:pPr>
        <w:spacing w:after="160" w:line="360"/>
        <w:jc w:val="both"/>
      </w:pPr>
      <w:r>
        <w:rPr>
          <w:rFonts w:ascii="Malgun Gothic" w:cs="Malgun Gothic" w:eastAsia="Malgun Gothic" w:hAnsi="Malgun Gothic"/>
          <w:sz w:val="22"/>
          <w:szCs w:val="22"/>
        </w:rPr>
        <w:t xml:space="preserve">AI의 긍정적 효과가 가장 뚜렷하게 나타나는 분야는 과학과 의료다. AI는 뇌출혈 영상 판독처럼 일부 진단·임상 의사결정 과제에서 의사와 같거나 더 나은 성능을 보인다. 5개 대학병원을 대상으로 한 JAMA 연구에서는 AI 앰비언트 서기가 진료 1건당 전자의무기록 사용 시간을 13.4분, 문서 작성 시간을 16분 줄였다.</w:t>
      </w:r>
    </w:p>
    <w:p>
      <w:pPr>
        <w:spacing w:after="160" w:line="360"/>
        <w:jc w:val="both"/>
      </w:pPr>
      <w:r>
        <w:rPr>
          <w:rFonts w:ascii="Malgun Gothic" w:cs="Malgun Gothic" w:eastAsia="Malgun Gothic" w:hAnsi="Malgun Gothic"/>
          <w:sz w:val="22"/>
          <w:szCs w:val="22"/>
        </w:rPr>
        <w:t xml:space="preserve">신약 개발에서도 생성형 AI가 후보 물질 탐색 기간을 크게 단축하고 있으며, 단백질 설계 모델이 만든 결합체가 130개 이상의 표적에서 실험으로 검증되었다. 2026년 등록된 AI 임상시험 8,500건 이상 가운데 예후 예측 AI가 진단 AI보다 약간 많다는 점은 의료가 치료 중심에서 예방 중심으로 이동하고 있음을 보여 준다.</w:t>
      </w:r>
    </w:p>
    <w:p>
      <w:pPr>
        <w:pStyle w:val="Heading2"/>
      </w:pPr>
      <w:r>
        <w:t xml:space="preserve">6. 노동 시장: 전면적 대체보다 불균등한 재편</w:t>
      </w:r>
    </w:p>
    <w:p>
      <w:pPr>
        <w:spacing w:after="160" w:line="360"/>
        <w:jc w:val="both"/>
      </w:pPr>
      <w:r>
        <w:rPr>
          <w:rFonts w:ascii="Malgun Gothic" w:cs="Malgun Gothic" w:eastAsia="Malgun Gothic" w:hAnsi="Malgun Gothic"/>
          <w:sz w:val="22"/>
          <w:szCs w:val="22"/>
        </w:rPr>
        <w:t xml:space="preserve">AI가 대규모 실업을 낳을 것이라는 우려와 달리, 현재까지 전체 고용 통계에서 대규모 일자리 감소는 확인되지 않는다. 2022년 말 이후 AI 노출도가 높은 직군의 실업률이 뚜렷하게 오르지도 않았다.</w:t>
      </w:r>
    </w:p>
    <w:p>
      <w:pPr>
        <w:spacing w:after="160" w:line="360"/>
        <w:jc w:val="both"/>
      </w:pPr>
      <w:r>
        <w:rPr>
          <w:rFonts w:ascii="Malgun Gothic" w:cs="Malgun Gothic" w:eastAsia="Malgun Gothic" w:hAnsi="Malgun Gothic"/>
          <w:sz w:val="22"/>
          <w:szCs w:val="22"/>
        </w:rPr>
        <w:t xml:space="preserve">그러나 영향은 특정 영역에 집중되고 있다. 2025년 신입 채용이 크게 줄었고, 반복 업무 직무의 채용 공고는 약 13% 감소한 반면 분석·기술·창의 직무는 약 20% 늘었다. AI 역량을 요구하는 미국 채용 공고는 전년 대비 144% 증가했으며(전체 공고 증가율 7%), AI 역량을 갖춘 근로자는 최대 62%의 임금 프리미엄을 받는다. 즉, AI는 일자리를 일괄적으로 없애기보다 요구 역량을 높이고 경력 초기 진입 경로를 좁히는 방식으로 노동 시장을 재편하고 있다.</w:t>
      </w:r>
    </w:p>
    <w:p>
      <w:pPr>
        <w:pStyle w:val="Heading2"/>
      </w:pPr>
      <w:r>
        <w:t xml:space="preserve">7. 위험과 안전: 역량을 따라가지 못하는 관리 체계</w:t>
      </w:r>
    </w:p>
    <w:p>
      <w:pPr>
        <w:spacing w:after="160" w:line="360"/>
        <w:jc w:val="both"/>
      </w:pPr>
      <w:r>
        <w:rPr>
          <w:rFonts w:ascii="Malgun Gothic" w:cs="Malgun Gothic" w:eastAsia="Malgun Gothic" w:hAnsi="Malgun Gothic"/>
          <w:sz w:val="22"/>
          <w:szCs w:val="22"/>
        </w:rPr>
        <w:t xml:space="preserve">AI 역량이 커질수록 위험도 함께 커진다. 「International AI Safety Report 2026」은 위험을 악의적 사용, 오작동, 구조적 위험의 세 가지로 구분한다. 딥페이크를 이용한 사기가 늘고 있고, 한 평가에서 AI 에이전트는 실제 소프트웨어의 알려진 취약점 77%를 찾아내 사이버 공격에 악용될 가능성을 보여 주었다. 생물학 AI 도구 375개 중 안전장치를 갖춘 것은 3%에 불과하다.</w:t>
      </w:r>
    </w:p>
    <w:p>
      <w:pPr>
        <w:spacing w:after="160" w:line="360"/>
        <w:jc w:val="both"/>
      </w:pPr>
      <w:r>
        <w:rPr>
          <w:rFonts w:ascii="Malgun Gothic" w:cs="Malgun Gothic" w:eastAsia="Malgun Gothic" w:hAnsi="Malgun Gothic"/>
          <w:sz w:val="22"/>
          <w:szCs w:val="22"/>
        </w:rPr>
        <w:t xml:space="preserve">평가와 투명성의 문제도 심각하다. 모델이 테스트 환경과 실제 환경을 구분하는 경우가 생기면서 배포 전 안전성 검증이 어려워졌고, 파운데이션 모델 투명성 지수는 58점에서 40점으로 떨어졌다. 전문가의 73%가 AI에 낙관적인 반면 일반 대중은 23%에 그치는 50%포인트의 인식 격차는 사회적 신뢰가 아직 충분히 형성되지 않았음을 보여 준다.</w:t>
      </w:r>
    </w:p>
    <w:p>
      <w:pPr>
        <w:pStyle w:val="Heading2"/>
      </w:pPr>
      <w:r>
        <w:t xml:space="preserve">8. 규제: 본격적인 시행 단계 진입</w:t>
      </w:r>
    </w:p>
    <w:p>
      <w:pPr>
        <w:spacing w:after="160" w:line="360"/>
        <w:jc w:val="both"/>
      </w:pPr>
      <w:r>
        <w:rPr>
          <w:rFonts w:ascii="Malgun Gothic" w:cs="Malgun Gothic" w:eastAsia="Malgun Gothic" w:hAnsi="Malgun Gothic"/>
          <w:sz w:val="22"/>
          <w:szCs w:val="22"/>
        </w:rPr>
        <w:t xml:space="preserve">각국은 AI 규제를 구체화하고 있다. 현재 포괄적인 AI 법률이 시행 중인 곳은 EU와 한국 두 곳이다. EU AI Act는 2025년 8월 범용 AI 규정을 시작으로 2026년 8월부터 대부분의 조항이 적용되며, 고위험 AI 규정은 간소화 합의에 따라 2027년 12월로 연기되었다.</w:t>
      </w:r>
    </w:p>
    <w:p>
      <w:pPr>
        <w:spacing w:after="160" w:line="360"/>
        <w:jc w:val="both"/>
      </w:pPr>
      <w:r>
        <w:rPr>
          <w:rFonts w:ascii="Malgun Gothic" w:cs="Malgun Gothic" w:eastAsia="Malgun Gothic" w:hAnsi="Malgun Gothic"/>
          <w:sz w:val="22"/>
          <w:szCs w:val="22"/>
        </w:rPr>
        <w:t xml:space="preserve">한국의 AI 기본법은 2026년 1월 22일 시행되었다. 한국 이용자에게 서비스하는 해외 기업에도 적용되며, 생성형 AI의 투명성 의무, 일정 연산량 이상으로 학습한 모델의 안전 의무, 의료·채용·대출·에너지 등 고영향 AI에 대한 의무를 규정한다. 혁신 촉진과 위험 관리 사이의 균형을 추구한다는 점에서 국제적인 관심을 받고 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구분</w:t>
            </w:r>
          </w:p>
        </w:tc>
        <w:tc>
          <w:tcPr>
            <w:tcW w:type="dxa" w:w="34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EU AI Act</w:t>
            </w:r>
          </w:p>
        </w:tc>
        <w:tc>
          <w:tcPr>
            <w:tcW w:type="dxa" w:w="348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rFonts w:ascii="Malgun Gothic" w:cs="Malgun Gothic" w:eastAsia="Malgun Gothic" w:hAnsi="Malgun Gothic"/>
                <w:b/>
                <w:bCs/>
                <w:color w:val="FFFFFF"/>
                <w:sz w:val="20"/>
                <w:szCs w:val="20"/>
              </w:rPr>
              <w:t xml:space="preserve">한국 AI 기본법</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시행 시기</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2025.8 범용 AI → 2026.8 대부분 조항 → 2027.12 고위험 AI</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2026.1.22 시행</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접근 방식</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위험 기반 단계별 규제</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산업 진흥과 위험 관리의 균형</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주요 의무</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범용 AI 투명성, 고위험 AI 관리</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Malgun Gothic" w:cs="Malgun Gothic" w:eastAsia="Malgun Gothic" w:hAnsi="Malgun Gothic"/>
                <w:b w:val="false"/>
                <w:bCs w:val="false"/>
                <w:color w:val="000000"/>
                <w:sz w:val="20"/>
                <w:szCs w:val="20"/>
              </w:rPr>
              <w:t xml:space="preserve">생성형 AI 투명성, 고영향 AI 의무, 대규모 모델 안전 의무</w:t>
            </w:r>
          </w:p>
        </w:tc>
      </w:tr>
    </w:tbl>
    <w:p>
      <w:pPr>
        <w:spacing w:after="240" w:before="80"/>
        <w:jc w:val="center"/>
      </w:pPr>
      <w:r>
        <w:rPr>
          <w:rFonts w:ascii="Malgun Gothic" w:cs="Malgun Gothic" w:eastAsia="Malgun Gothic" w:hAnsi="Malgun Gothic"/>
          <w:i/>
          <w:iCs/>
          <w:color w:val="595959"/>
          <w:sz w:val="18"/>
          <w:szCs w:val="18"/>
        </w:rPr>
        <w:t xml:space="preserve">[표 3] EU와 한국의 AI 규제 비교</w:t>
      </w:r>
    </w:p>
    <w:p>
      <w:r>
        <w:br w:type="page"/>
      </w:r>
    </w:p>
    <w:p>
      <w:pPr>
        <w:pStyle w:val="Heading1"/>
      </w:pPr>
      <w:r>
        <w:t xml:space="preserve">Ⅲ. 결론</w:t>
      </w:r>
    </w:p>
    <w:p>
      <w:pPr>
        <w:pStyle w:val="Heading2"/>
      </w:pPr>
      <w:r>
        <w:t xml:space="preserve">1. 요약</w:t>
      </w:r>
    </w:p>
    <w:p>
      <w:pPr>
        <w:spacing w:after="160" w:line="360"/>
        <w:jc w:val="both"/>
      </w:pPr>
      <w:r>
        <w:rPr>
          <w:rFonts w:ascii="Malgun Gothic" w:cs="Malgun Gothic" w:eastAsia="Malgun Gothic" w:hAnsi="Malgun Gothic"/>
          <w:sz w:val="22"/>
          <w:szCs w:val="22"/>
        </w:rPr>
        <w:t xml:space="preserve">본 보고서는 2026년 현재 AI 발전의 현황을 여덟 가지 측면에서 살펴보았다. 주요 내용은 다음과 같다.</w:t>
      </w:r>
    </w:p>
    <w:p>
      <w:pPr>
        <w:pStyle w:val="ListParagraph"/>
        <w:numPr>
          <w:ilvl w:val="0"/>
          <w:numId w:val="2"/>
        </w:numPr>
        <w:spacing w:after="80" w:line="320"/>
      </w:pPr>
      <w:r>
        <w:rPr>
          <w:rFonts w:ascii="Malgun Gothic" w:cs="Malgun Gothic" w:eastAsia="Malgun Gothic" w:hAnsi="Malgun Gothic"/>
          <w:sz w:val="22"/>
          <w:szCs w:val="22"/>
        </w:rPr>
        <w:t xml:space="preserve">AI 역량은 정체되지 않고 가속하고 있으며, 코딩과 추론 분야의 발전이 가장 두드러진다.</w:t>
      </w:r>
    </w:p>
    <w:p>
      <w:pPr>
        <w:pStyle w:val="ListParagraph"/>
        <w:numPr>
          <w:ilvl w:val="0"/>
          <w:numId w:val="2"/>
        </w:numPr>
        <w:spacing w:after="80" w:line="320"/>
      </w:pPr>
      <w:r>
        <w:rPr>
          <w:rFonts w:ascii="Malgun Gothic" w:cs="Malgun Gothic" w:eastAsia="Malgun Gothic" w:hAnsi="Malgun Gothic"/>
          <w:sz w:val="22"/>
          <w:szCs w:val="22"/>
        </w:rPr>
        <w:t xml:space="preserve">AI의 활용 형태가 챗봇에서 에이전트로 옮겨가고 있지만, 대부분의 기업은 아직 실제 운영 단계에 이르지 못했다.</w:t>
      </w:r>
    </w:p>
    <w:p>
      <w:pPr>
        <w:pStyle w:val="ListParagraph"/>
        <w:numPr>
          <w:ilvl w:val="0"/>
          <w:numId w:val="2"/>
        </w:numPr>
        <w:spacing w:after="80" w:line="320"/>
      </w:pPr>
      <w:r>
        <w:rPr>
          <w:rFonts w:ascii="Malgun Gothic" w:cs="Malgun Gothic" w:eastAsia="Malgun Gothic" w:hAnsi="Malgun Gothic"/>
          <w:sz w:val="22"/>
          <w:szCs w:val="22"/>
        </w:rPr>
        <w:t xml:space="preserve">투자와 인프라 지출이 사상 최고 수준이며, 전력이 새로운 제약 요인으로 떠올랐다.</w:t>
      </w:r>
    </w:p>
    <w:p>
      <w:pPr>
        <w:pStyle w:val="ListParagraph"/>
        <w:numPr>
          <w:ilvl w:val="0"/>
          <w:numId w:val="2"/>
        </w:numPr>
        <w:spacing w:after="80" w:line="320"/>
      </w:pPr>
      <w:r>
        <w:rPr>
          <w:rFonts w:ascii="Malgun Gothic" w:cs="Malgun Gothic" w:eastAsia="Malgun Gothic" w:hAnsi="Malgun Gothic"/>
          <w:sz w:val="22"/>
          <w:szCs w:val="22"/>
        </w:rPr>
        <w:t xml:space="preserve">과학·의료에서는 성과가 뚜렷한 반면, 노동 시장에는 전면적 대체보다 불균등한 재편이 나타나고 있다.</w:t>
      </w:r>
    </w:p>
    <w:p>
      <w:pPr>
        <w:pStyle w:val="ListParagraph"/>
        <w:numPr>
          <w:ilvl w:val="0"/>
          <w:numId w:val="2"/>
        </w:numPr>
        <w:spacing w:after="80" w:line="320"/>
      </w:pPr>
      <w:r>
        <w:rPr>
          <w:rFonts w:ascii="Malgun Gothic" w:cs="Malgun Gothic" w:eastAsia="Malgun Gothic" w:hAnsi="Malgun Gothic"/>
          <w:sz w:val="22"/>
          <w:szCs w:val="22"/>
        </w:rPr>
        <w:t xml:space="preserve">안전성, 투명성, 대중의 신뢰는 역량 발전을 따라가지 못하고 있으며, 규제는 이제 막 시행 단계에 들어섰다.</w:t>
      </w:r>
    </w:p>
    <w:p>
      <w:pPr>
        <w:pStyle w:val="Heading2"/>
      </w:pPr>
      <w:r>
        <w:t xml:space="preserve">2. 시사점 및 제언</w:t>
      </w:r>
    </w:p>
    <w:p>
      <w:pPr>
        <w:spacing w:after="160" w:line="360"/>
        <w:jc w:val="both"/>
      </w:pPr>
      <w:r>
        <w:rPr>
          <w:rFonts w:ascii="Malgun Gothic" w:cs="Malgun Gothic" w:eastAsia="Malgun Gothic" w:hAnsi="Malgun Gothic"/>
          <w:sz w:val="22"/>
          <w:szCs w:val="22"/>
        </w:rPr>
        <w:t xml:space="preserve">AI 발전의 핵심 과제는 이제 "얼마나 똑똑한가"에서 "얼마나 믿고 쓸 수 있는가"로 옮겨가고 있다. 이를 위해 다음과 같은 노력이 필요하다.</w:t>
      </w:r>
    </w:p>
    <w:p>
      <w:pPr>
        <w:pStyle w:val="ListParagraph"/>
        <w:numPr>
          <w:ilvl w:val="0"/>
          <w:numId w:val="2"/>
        </w:numPr>
        <w:spacing w:after="80" w:line="320"/>
      </w:pPr>
      <w:r>
        <w:rPr>
          <w:rFonts w:ascii="Malgun Gothic" w:cs="Malgun Gothic" w:eastAsia="Malgun Gothic" w:hAnsi="Malgun Gothic"/>
          <w:sz w:val="22"/>
          <w:szCs w:val="22"/>
        </w:rPr>
        <w:t xml:space="preserve">기업: 에이전트 도입 시 평가 체계와 거버넌스를 먼저 갖추어 파일럿이 실제 성과로 이어지도록 해야 한다.</w:t>
      </w:r>
    </w:p>
    <w:p>
      <w:pPr>
        <w:pStyle w:val="ListParagraph"/>
        <w:numPr>
          <w:ilvl w:val="0"/>
          <w:numId w:val="2"/>
        </w:numPr>
        <w:spacing w:after="80" w:line="320"/>
      </w:pPr>
      <w:r>
        <w:rPr>
          <w:rFonts w:ascii="Malgun Gothic" w:cs="Malgun Gothic" w:eastAsia="Malgun Gothic" w:hAnsi="Malgun Gothic"/>
          <w:sz w:val="22"/>
          <w:szCs w:val="22"/>
        </w:rPr>
        <w:t xml:space="preserve">개인: 반복 업무가 줄어드는 만큼 AI를 활용하는 역량과 분석·창의적 역량을 함께 키워야 한다.</w:t>
      </w:r>
    </w:p>
    <w:p>
      <w:pPr>
        <w:pStyle w:val="ListParagraph"/>
        <w:numPr>
          <w:ilvl w:val="0"/>
          <w:numId w:val="2"/>
        </w:numPr>
        <w:spacing w:after="80" w:line="320"/>
      </w:pPr>
      <w:r>
        <w:rPr>
          <w:rFonts w:ascii="Malgun Gothic" w:cs="Malgun Gothic" w:eastAsia="Malgun Gothic" w:hAnsi="Malgun Gothic"/>
          <w:sz w:val="22"/>
          <w:szCs w:val="22"/>
        </w:rPr>
        <w:t xml:space="preserve">정부: 신입 인력의 경력 진입 경로를 보완하는 교육·고용 정책과 함께, 전력 인프라 확충 계획을 마련해야 한다.</w:t>
      </w:r>
    </w:p>
    <w:p>
      <w:pPr>
        <w:pStyle w:val="ListParagraph"/>
        <w:numPr>
          <w:ilvl w:val="0"/>
          <w:numId w:val="2"/>
        </w:numPr>
        <w:spacing w:after="80" w:line="320"/>
      </w:pPr>
      <w:r>
        <w:rPr>
          <w:rFonts w:ascii="Malgun Gothic" w:cs="Malgun Gothic" w:eastAsia="Malgun Gothic" w:hAnsi="Malgun Gothic"/>
          <w:sz w:val="22"/>
          <w:szCs w:val="22"/>
        </w:rPr>
        <w:t xml:space="preserve">사회 전체: 투명성 확보와 독립적인 안전성 평가를 통해 전문가와 대중 사이의 신뢰 격차를 줄여야 한다.</w:t>
      </w:r>
    </w:p>
    <w:p>
      <w:pPr>
        <w:pStyle w:val="Heading2"/>
      </w:pPr>
      <w:r>
        <w:t xml:space="preserve">3. 맺음말</w:t>
      </w:r>
    </w:p>
    <w:p>
      <w:pPr>
        <w:spacing w:after="160" w:line="360"/>
        <w:jc w:val="both"/>
      </w:pPr>
      <w:r>
        <w:rPr>
          <w:rFonts w:ascii="Malgun Gothic" w:cs="Malgun Gothic" w:eastAsia="Malgun Gothic" w:hAnsi="Malgun Gothic"/>
          <w:sz w:val="22"/>
          <w:szCs w:val="22"/>
        </w:rPr>
        <w:t xml:space="preserve">AI는 이미 우리 사회의 기반 기술이 되었고, 그 발전 속도는 당분간 줄어들지 않을 것으로 보인다. 중요한 것은 기술의 속도 자체가 아니라, 그 혜택을 넓게 나누고 위험을 체계적으로 관리하는 제도와 역량을 얼마나 빨리 갖추느냐이다. 2026년은 한국 AI 기본법과 EU AI Act가 본격적으로 시행되는 해로, 기술 발전과 사회적 신뢰가 함께 성장하는 출발점이 되어야 할 것이다.</w:t>
      </w:r>
    </w:p>
    <w:p>
      <w:r>
        <w:br w:type="page"/>
      </w:r>
    </w:p>
    <w:p>
      <w:pPr>
        <w:pStyle w:val="Heading1"/>
      </w:pPr>
      <w:r>
        <w:t xml:space="preserve">참고 자료</w:t>
      </w:r>
    </w:p>
    <w:p>
      <w:pPr>
        <w:pStyle w:val="ListParagraph"/>
        <w:numPr>
          <w:ilvl w:val="0"/>
          <w:numId w:val="2"/>
        </w:numPr>
        <w:spacing w:after="80" w:line="320"/>
      </w:pPr>
      <w:r>
        <w:rPr>
          <w:rFonts w:ascii="Malgun Gothic" w:cs="Malgun Gothic" w:eastAsia="Malgun Gothic" w:hAnsi="Malgun Gothic"/>
          <w:sz w:val="22"/>
          <w:szCs w:val="22"/>
        </w:rPr>
        <w:t xml:space="preserve">Stanford HAI, The 2026 AI Index Report — hai.stanford.edu/ai-index/2026-ai-index-report</w:t>
      </w:r>
    </w:p>
    <w:p>
      <w:pPr>
        <w:pStyle w:val="ListParagraph"/>
        <w:numPr>
          <w:ilvl w:val="0"/>
          <w:numId w:val="2"/>
        </w:numPr>
        <w:spacing w:after="80" w:line="320"/>
      </w:pPr>
      <w:r>
        <w:rPr>
          <w:rFonts w:ascii="Malgun Gothic" w:cs="Malgun Gothic" w:eastAsia="Malgun Gothic" w:hAnsi="Malgun Gothic"/>
          <w:sz w:val="22"/>
          <w:szCs w:val="22"/>
        </w:rPr>
        <w:t xml:space="preserve">International AI Safety Report 2026 — internationalaisafetyreport.org</w:t>
      </w:r>
    </w:p>
    <w:p>
      <w:pPr>
        <w:pStyle w:val="ListParagraph"/>
        <w:numPr>
          <w:ilvl w:val="0"/>
          <w:numId w:val="2"/>
        </w:numPr>
        <w:spacing w:after="80" w:line="320"/>
      </w:pPr>
      <w:r>
        <w:rPr>
          <w:rFonts w:ascii="Malgun Gothic" w:cs="Malgun Gothic" w:eastAsia="Malgun Gothic" w:hAnsi="Malgun Gothic"/>
          <w:sz w:val="22"/>
          <w:szCs w:val="22"/>
        </w:rPr>
        <w:t xml:space="preserve">IEA, Energy and AI (World Energy Outlook Special Report)</w:t>
      </w:r>
    </w:p>
    <w:p>
      <w:pPr>
        <w:pStyle w:val="ListParagraph"/>
        <w:numPr>
          <w:ilvl w:val="0"/>
          <w:numId w:val="2"/>
        </w:numPr>
        <w:spacing w:after="80" w:line="320"/>
      </w:pPr>
      <w:r>
        <w:rPr>
          <w:rFonts w:ascii="Malgun Gothic" w:cs="Malgun Gothic" w:eastAsia="Malgun Gothic" w:hAnsi="Malgun Gothic"/>
          <w:sz w:val="22"/>
          <w:szCs w:val="22"/>
        </w:rPr>
        <w:t xml:space="preserve">IAEA Bulletin, Data Centres, AI and Cryptocurrencies Eye Advanced Nuclear</w:t>
      </w:r>
    </w:p>
    <w:p>
      <w:pPr>
        <w:pStyle w:val="ListParagraph"/>
        <w:numPr>
          <w:ilvl w:val="0"/>
          <w:numId w:val="2"/>
        </w:numPr>
        <w:spacing w:after="80" w:line="320"/>
      </w:pPr>
      <w:r>
        <w:rPr>
          <w:rFonts w:ascii="Malgun Gothic" w:cs="Malgun Gothic" w:eastAsia="Malgun Gothic" w:hAnsi="Malgun Gothic"/>
          <w:sz w:val="22"/>
          <w:szCs w:val="22"/>
        </w:rPr>
        <w:t xml:space="preserve">PwC, 2026 Global AI Jobs Barometer</w:t>
      </w:r>
    </w:p>
    <w:p>
      <w:pPr>
        <w:pStyle w:val="ListParagraph"/>
        <w:numPr>
          <w:ilvl w:val="0"/>
          <w:numId w:val="2"/>
        </w:numPr>
        <w:spacing w:after="80" w:line="320"/>
      </w:pPr>
      <w:r>
        <w:rPr>
          <w:rFonts w:ascii="Malgun Gothic" w:cs="Malgun Gothic" w:eastAsia="Malgun Gothic" w:hAnsi="Malgun Gothic"/>
          <w:sz w:val="22"/>
          <w:szCs w:val="22"/>
        </w:rPr>
        <w:t xml:space="preserve">S&amp;P Global, AI impact on employment 2026</w:t>
      </w:r>
    </w:p>
    <w:p>
      <w:pPr>
        <w:pStyle w:val="ListParagraph"/>
        <w:numPr>
          <w:ilvl w:val="0"/>
          <w:numId w:val="2"/>
        </w:numPr>
        <w:spacing w:after="80" w:line="320"/>
      </w:pPr>
      <w:r>
        <w:rPr>
          <w:rFonts w:ascii="Malgun Gothic" w:cs="Malgun Gothic" w:eastAsia="Malgun Gothic" w:hAnsi="Malgun Gothic"/>
          <w:sz w:val="22"/>
          <w:szCs w:val="22"/>
        </w:rPr>
        <w:t xml:space="preserve">Futurum, AI Capex 2026: The $690B Infrastructure Sprint</w:t>
      </w:r>
    </w:p>
    <w:p>
      <w:pPr>
        <w:pStyle w:val="ListParagraph"/>
        <w:numPr>
          <w:ilvl w:val="0"/>
          <w:numId w:val="2"/>
        </w:numPr>
        <w:spacing w:after="80" w:line="320"/>
      </w:pPr>
      <w:r>
        <w:rPr>
          <w:rFonts w:ascii="Malgun Gothic" w:cs="Malgun Gothic" w:eastAsia="Malgun Gothic" w:hAnsi="Malgun Gothic"/>
          <w:sz w:val="22"/>
          <w:szCs w:val="22"/>
        </w:rPr>
        <w:t xml:space="preserve">Introl, Hyperscaler CapEx Hits $600B in 2026</w:t>
      </w:r>
    </w:p>
    <w:p>
      <w:pPr>
        <w:pStyle w:val="ListParagraph"/>
        <w:numPr>
          <w:ilvl w:val="0"/>
          <w:numId w:val="2"/>
        </w:numPr>
        <w:spacing w:after="80" w:line="320"/>
      </w:pPr>
      <w:r>
        <w:rPr>
          <w:rFonts w:ascii="Malgun Gothic" w:cs="Malgun Gothic" w:eastAsia="Malgun Gothic" w:hAnsi="Malgun Gothic"/>
          <w:sz w:val="22"/>
          <w:szCs w:val="22"/>
        </w:rPr>
        <w:t xml:space="preserve">Prefactor / Digital Applied / The Stacc, AI agent adoption statistics 2026</w:t>
      </w:r>
    </w:p>
    <w:p>
      <w:pPr>
        <w:pStyle w:val="ListParagraph"/>
        <w:numPr>
          <w:ilvl w:val="0"/>
          <w:numId w:val="2"/>
        </w:numPr>
        <w:spacing w:after="80" w:line="320"/>
      </w:pPr>
      <w:r>
        <w:rPr>
          <w:rFonts w:ascii="Malgun Gothic" w:cs="Malgun Gothic" w:eastAsia="Malgun Gothic" w:hAnsi="Malgun Gothic"/>
          <w:sz w:val="22"/>
          <w:szCs w:val="22"/>
        </w:rPr>
        <w:t xml:space="preserve">Crescendo, AI in Healthcare News 2026</w:t>
      </w:r>
    </w:p>
    <w:p>
      <w:pPr>
        <w:pStyle w:val="ListParagraph"/>
        <w:numPr>
          <w:ilvl w:val="0"/>
          <w:numId w:val="2"/>
        </w:numPr>
        <w:spacing w:after="80" w:line="320"/>
      </w:pPr>
      <w:r>
        <w:rPr>
          <w:rFonts w:ascii="Malgun Gothic" w:cs="Malgun Gothic" w:eastAsia="Malgun Gothic" w:hAnsi="Malgun Gothic"/>
          <w:sz w:val="22"/>
          <w:szCs w:val="22"/>
        </w:rPr>
        <w:t xml:space="preserve">Cooley, South Korea's AI Basic Act: Overview and Key Takeaways</w:t>
      </w:r>
    </w:p>
    <w:p>
      <w:pPr>
        <w:pStyle w:val="ListParagraph"/>
        <w:numPr>
          <w:ilvl w:val="0"/>
          <w:numId w:val="2"/>
        </w:numPr>
        <w:spacing w:after="80" w:line="320"/>
      </w:pPr>
      <w:r>
        <w:rPr>
          <w:rFonts w:ascii="Malgun Gothic" w:cs="Malgun Gothic" w:eastAsia="Malgun Gothic" w:hAnsi="Malgun Gothic"/>
          <w:sz w:val="22"/>
          <w:szCs w:val="22"/>
        </w:rPr>
        <w:t xml:space="preserve">Stimson Center, South Korea's AI Basic Act</w:t>
      </w:r>
    </w:p>
    <w:p>
      <w:pPr>
        <w:pStyle w:val="ListParagraph"/>
        <w:numPr>
          <w:ilvl w:val="0"/>
          <w:numId w:val="2"/>
        </w:numPr>
        <w:spacing w:after="80" w:line="320"/>
      </w:pPr>
      <w:r>
        <w:rPr>
          <w:rFonts w:ascii="Malgun Gothic" w:cs="Malgun Gothic" w:eastAsia="Malgun Gothic" w:hAnsi="Malgun Gothic"/>
          <w:sz w:val="22"/>
          <w:szCs w:val="22"/>
        </w:rPr>
        <w:t xml:space="preserve">StationX, AI Regulations Around the World: Full 2026 Breakdown</w:t>
      </w:r>
    </w:p>
    <w:p>
      <w:pPr>
        <w:pStyle w:val="ListParagraph"/>
        <w:numPr>
          <w:ilvl w:val="0"/>
          <w:numId w:val="2"/>
        </w:numPr>
        <w:spacing w:after="80" w:line="320"/>
      </w:pPr>
      <w:r>
        <w:rPr>
          <w:rFonts w:ascii="Malgun Gothic" w:cs="Malgun Gothic" w:eastAsia="Malgun Gothic" w:hAnsi="Malgun Gothic"/>
          <w:sz w:val="22"/>
          <w:szCs w:val="22"/>
        </w:rPr>
        <w:t xml:space="preserve">전체 URL 목록: research/ai-development-research.md</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40" w:before="240"/>
      <w:outlineLvl w:val="0"/>
    </w:pPr>
    <w:rPr>
      <w:rFonts w:ascii="Malgun Gothic" w:cs="Malgun Gothic" w:eastAsia="Malgun Gothic" w:hAnsi="Malgun Gothic"/>
      <w:b/>
      <w:bCs/>
      <w:color w:val="1F4E79"/>
      <w:sz w:val="34"/>
      <w:szCs w:val="34"/>
    </w:rPr>
  </w:style>
  <w:style w:type="paragraph" w:styleId="Heading2">
    <w:name w:val="Heading 2"/>
    <w:basedOn w:val="Normal"/>
    <w:next w:val="Normal"/>
    <w:qFormat/>
    <w:pPr>
      <w:spacing w:after="140" w:before="280"/>
      <w:outlineLvl w:val="1"/>
    </w:pPr>
    <w:rPr>
      <w:rFonts w:ascii="Malgun Gothic" w:cs="Malgun Gothic" w:eastAsia="Malgun Gothic" w:hAnsi="Malgun Gothic"/>
      <w:b/>
      <w:bCs/>
      <w:color w:val="2E2E2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발전의 현황과 과제</dc:title>
  <dc:creator>Chunsik</dc:creator>
  <cp:lastModifiedBy>Un-named</cp:lastModifiedBy>
  <cp:revision>1</cp:revision>
  <dcterms:created xsi:type="dcterms:W3CDTF">2026-10-04T06:38:54.922Z</dcterms:created>
  <dcterms:modified xsi:type="dcterms:W3CDTF">2026-10-04T06:38:54.922Z</dcterms:modified>
</cp:coreProperties>
</file>

<file path=docProps/custom.xml><?xml version="1.0" encoding="utf-8"?>
<Properties xmlns="http://schemas.openxmlformats.org/officeDocument/2006/custom-properties" xmlns:vt="http://schemas.openxmlformats.org/officeDocument/2006/docPropsVTypes"/>
</file>