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rFonts w:ascii="맑은 고딕" w:cs="맑은 고딕" w:eastAsia="맑은 고딕" w:hAnsi="맑은 고딕"/>
          <w:b/>
          <w:bCs/>
          <w:color w:val="1F3864"/>
          <w:sz w:val="56"/>
          <w:szCs w:val="56"/>
        </w:rPr>
        <w:t xml:space="preserve">AI 발전 현황과 전망</w:t>
      </w:r>
    </w:p>
    <w:p>
      <w:pPr>
        <w:spacing w:after="1200"/>
        <w:jc w:val="center"/>
      </w:pPr>
      <w:r>
        <w:rPr>
          <w:rFonts w:ascii="맑은 고딕" w:cs="맑은 고딕" w:eastAsia="맑은 고딕" w:hAnsi="맑은 고딕"/>
          <w:color w:val="595959"/>
          <w:sz w:val="28"/>
          <w:szCs w:val="28"/>
        </w:rPr>
        <w:t xml:space="preserve">2026년 10월 기준 자료조사 보고서</w:t>
      </w:r>
    </w:p>
    <w:p>
      <w:pPr>
        <w:jc w:val="center"/>
      </w:pPr>
      <w:r>
        <w:rPr>
          <w:rFonts w:ascii="맑은 고딕" w:cs="맑은 고딕" w:eastAsia="맑은 고딕" w:hAnsi="맑은 고딕"/>
          <w:sz w:val="22"/>
          <w:szCs w:val="22"/>
        </w:rPr>
        <w:t xml:space="preserve">작성일: 2026년 10월 4일</w:t>
      </w:r>
    </w:p>
    <w:p>
      <w:pPr>
        <w:jc w:val="center"/>
      </w:pPr>
      <w:r>
        <w:rPr>
          <w:rFonts w:ascii="맑은 고딕" w:cs="맑은 고딕" w:eastAsia="맑은 고딕" w:hAnsi="맑은 고딕"/>
          <w:color w:val="595959"/>
          <w:sz w:val="20"/>
          <w:szCs w:val="20"/>
        </w:rPr>
        <w:t xml:space="preserve">근거 자료: research/ai-development-research-v2.md</w:t>
      </w:r>
    </w:p>
    <w:p>
      <w:r>
        <w:br w:type="page"/>
      </w:r>
    </w:p>
    <w:p>
      <w:pPr>
        <w:spacing w:after="200"/>
      </w:pPr>
      <w:r>
        <w:rPr>
          <w:rFonts w:ascii="맑은 고딕" w:cs="맑은 고딕" w:eastAsia="맑은 고딕" w:hAnsi="맑은 고딕"/>
          <w:b/>
          <w:bCs/>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맑은 고딕" w:cs="맑은 고딕" w:eastAsia="맑은 고딕" w:hAnsi="맑은 고딕"/>
        </w:rPr>
        <w:t xml:space="preserve">Ⅰ. 서론</w:t>
      </w:r>
    </w:p>
    <w:p>
      <w:pPr>
        <w:pStyle w:val="Heading2"/>
        <w:spacing w:after="120" w:before="240"/>
      </w:pPr>
      <w:r>
        <w:rPr>
          <w:rFonts w:ascii="맑은 고딕" w:cs="맑은 고딕" w:eastAsia="맑은 고딕" w:hAnsi="맑은 고딕"/>
        </w:rPr>
        <w:t xml:space="preserve">1. 배경</w:t>
      </w:r>
    </w:p>
    <w:p>
      <w:pPr>
        <w:spacing w:after="120" w:line="320"/>
      </w:pPr>
      <w:r>
        <w:rPr>
          <w:rFonts w:ascii="맑은 고딕" w:cs="맑은 고딕" w:eastAsia="맑은 고딕" w:hAnsi="맑은 고딕"/>
          <w:sz w:val="22"/>
          <w:szCs w:val="22"/>
        </w:rPr>
        <w:t xml:space="preserve">2026년 현재 인공지능(AI)은 연구실의 기술을 넘어 기업 경영, 노동시장, 에너지 정책, 국가 전략을 함께 바꾸는 범용 기술이 되었습니다. 코딩 벤치마크 점수가 1년 만에 약 60%에서 100% 가까이로 오르는 등 성능은 빠르게 높아지고 있으며, 조직의 88%가 AI를 쓰고 있습니다. 동시에 AI 사고 증가, 전력 부족, 신입 일자리 변화, 각국의 규제 경쟁 같은 새로운 과제도 커지고 있습니다.</w:t>
      </w:r>
    </w:p>
    <w:p>
      <w:pPr>
        <w:pStyle w:val="Heading2"/>
        <w:spacing w:after="120" w:before="240"/>
      </w:pPr>
      <w:r>
        <w:rPr>
          <w:rFonts w:ascii="맑은 고딕" w:cs="맑은 고딕" w:eastAsia="맑은 고딕" w:hAnsi="맑은 고딕"/>
        </w:rPr>
        <w:t xml:space="preserve">2. 목적</w:t>
      </w:r>
    </w:p>
    <w:p>
      <w:pPr>
        <w:spacing w:after="120" w:line="320"/>
      </w:pPr>
      <w:r>
        <w:rPr>
          <w:rFonts w:ascii="맑은 고딕" w:cs="맑은 고딕" w:eastAsia="맑은 고딕" w:hAnsi="맑은 고딕"/>
          <w:sz w:val="22"/>
          <w:szCs w:val="22"/>
        </w:rPr>
        <w:t xml:space="preserve">이 보고서는 2026년 10월 기준 공개 자료를 바탕으로 AI 발전의 현황을 주제별로 정리하고, 그 의미와 앞으로의 과제를 제시하는 것을 목적으로 합니다.</w:t>
      </w:r>
    </w:p>
    <w:p>
      <w:pPr>
        <w:pStyle w:val="Heading2"/>
        <w:spacing w:after="120" w:before="240"/>
      </w:pPr>
      <w:r>
        <w:rPr>
          <w:rFonts w:ascii="맑은 고딕" w:cs="맑은 고딕" w:eastAsia="맑은 고딕" w:hAnsi="맑은 고딕"/>
        </w:rPr>
        <w:t xml:space="preserve">3. 범위와 방법</w:t>
      </w:r>
    </w:p>
    <w:p>
      <w:pPr>
        <w:pStyle w:val="ListParagraph"/>
        <w:numPr>
          <w:ilvl w:val="0"/>
          <w:numId w:val="2"/>
        </w:numPr>
        <w:spacing w:after="80" w:line="300"/>
      </w:pPr>
      <w:r>
        <w:rPr>
          <w:rFonts w:ascii="맑은 고딕" w:cs="맑은 고딕" w:eastAsia="맑은 고딕" w:hAnsi="맑은 고딕"/>
          <w:sz w:val="22"/>
          <w:szCs w:val="22"/>
        </w:rPr>
        <w:t xml:space="preserve">범위: 기술 성능, AI 에이전트, 투자와 인프라, 에너지, 고용과 경제, 규제와 정책, 안전과 위험, 한국의 AI 전략</w:t>
      </w:r>
    </w:p>
    <w:p>
      <w:pPr>
        <w:pStyle w:val="ListParagraph"/>
        <w:numPr>
          <w:ilvl w:val="0"/>
          <w:numId w:val="2"/>
        </w:numPr>
        <w:spacing w:after="80" w:line="300"/>
      </w:pPr>
      <w:r>
        <w:rPr>
          <w:rFonts w:ascii="맑은 고딕" w:cs="맑은 고딕" w:eastAsia="맑은 고딕" w:hAnsi="맑은 고딕"/>
          <w:sz w:val="22"/>
          <w:szCs w:val="22"/>
        </w:rPr>
        <w:t xml:space="preserve">주요 자료: Stanford AI Index 2026, International AI Safety Report 2026, IEA 에너지와 AI 보고서, PwC 2026 Global AI Jobs Barometer, 각국 법령·정책 자료와 언론 보도</w:t>
      </w:r>
    </w:p>
    <w:p>
      <w:pPr>
        <w:pStyle w:val="ListParagraph"/>
        <w:numPr>
          <w:ilvl w:val="0"/>
          <w:numId w:val="2"/>
        </w:numPr>
        <w:spacing w:after="80" w:line="300"/>
      </w:pPr>
      <w:r>
        <w:rPr>
          <w:rFonts w:ascii="맑은 고딕" w:cs="맑은 고딕" w:eastAsia="맑은 고딕" w:hAnsi="맑은 고딕"/>
          <w:sz w:val="22"/>
          <w:szCs w:val="22"/>
        </w:rPr>
        <w:t xml:space="preserve">한계: 일부 수치는 원 보고서가 아닌 2차 요약 자료에서 인용했으므로 참고용으로 보아야 합니다. 조사마다 수치가 다른 경우 함께 제시했습니다.</w:t>
      </w:r>
    </w:p>
    <w:p>
      <w:r>
        <w:br w:type="page"/>
      </w:r>
    </w:p>
    <w:p>
      <w:pPr>
        <w:pStyle w:val="Heading1"/>
        <w:spacing w:after="200" w:before="360"/>
      </w:pPr>
      <w:r>
        <w:rPr>
          <w:rFonts w:ascii="맑은 고딕" w:cs="맑은 고딕" w:eastAsia="맑은 고딕" w:hAnsi="맑은 고딕"/>
        </w:rPr>
        <w:t xml:space="preserve">Ⅱ. 본론</w:t>
      </w:r>
    </w:p>
    <w:p>
      <w:pPr>
        <w:pStyle w:val="Heading2"/>
        <w:spacing w:after="120" w:before="240"/>
      </w:pPr>
      <w:r>
        <w:rPr>
          <w:rFonts w:ascii="맑은 고딕" w:cs="맑은 고딕" w:eastAsia="맑은 고딕" w:hAnsi="맑은 고딕"/>
        </w:rPr>
        <w:t xml:space="preserve">1. 기술 성능: 빠르지만 고르지 않은 발전</w:t>
      </w:r>
    </w:p>
    <w:p>
      <w:pPr>
        <w:spacing w:after="120" w:line="320"/>
      </w:pPr>
      <w:r>
        <w:rPr>
          <w:rFonts w:ascii="맑은 고딕" w:cs="맑은 고딕" w:eastAsia="맑은 고딕" w:hAnsi="맑은 고딕"/>
          <w:sz w:val="22"/>
          <w:szCs w:val="22"/>
        </w:rPr>
        <w:t xml:space="preserve">AI 성능은 정체되지 않고 오히려 빨라지고 있습니다. SWE-bench 코딩 벤치마크 최고 점수는 1년 만에 약 60%에서 100% 가까이로 올랐고, 미국과 중국의 성능 격차는 사실상 사라졌습니다. 2026년 9월 초에는 GPT-6 Astra, Claude Fable 5.1, Gemini 3.8 Flash 등 주요 모델이 이틀 사이에 잇따라 출시될 만큼 경쟁이 치열합니다.</w:t>
      </w:r>
    </w:p>
    <w:p>
      <w:pPr>
        <w:spacing w:after="120" w:line="320"/>
      </w:pPr>
      <w:r>
        <w:rPr>
          <w:rFonts w:ascii="맑은 고딕" w:cs="맑은 고딕" w:eastAsia="맑은 고딕" w:hAnsi="맑은 고딕"/>
          <w:sz w:val="22"/>
          <w:szCs w:val="22"/>
        </w:rPr>
        <w:t xml:space="preserve">다만 성능은 "들쭉날쭉(jagged)"합니다. 국제수학올림피아드 금메달 수준의 모델이 아날로그 시계는 50.1%만 정확히 읽습니다. 벤치마크 점수만으로는 실제 업무에서의 신뢰성을 판단하기 어렵다는 뜻입니다.</w:t>
      </w:r>
    </w:p>
    <w:p>
      <w:pPr>
        <w:spacing w:after="120" w:line="320"/>
      </w:pPr>
      <w:r>
        <w:rPr>
          <w:rFonts w:ascii="맑은 고딕" w:cs="맑은 고딕" w:eastAsia="맑은 고딕" w:hAnsi="맑은 고딕"/>
          <w:sz w:val="22"/>
          <w:szCs w:val="22"/>
        </w:rPr>
        <w:t xml:space="preserve">오픈 웨이트 모델도 프론티어에 근접했습니다. DeepSeek V4(1.6조 파라미터, MIT 라이선스) 등 상위 오픈 웨이트 모델 5개 중 4개가 중국에서 나왔으며, 모델 가격은 100만 토큰당 0.10달러 수준까지 내려갔습니다.</w:t>
      </w:r>
    </w:p>
    <w:p>
      <w:pPr>
        <w:pStyle w:val="Heading2"/>
        <w:spacing w:after="120" w:before="240"/>
      </w:pPr>
      <w:r>
        <w:rPr>
          <w:rFonts w:ascii="맑은 고딕" w:cs="맑은 고딕" w:eastAsia="맑은 고딕" w:hAnsi="맑은 고딕"/>
        </w:rPr>
        <w:t xml:space="preserve">2. AI 에이전트: 확산과 운영 격차</w:t>
      </w:r>
    </w:p>
    <w:p>
      <w:pPr>
        <w:spacing w:after="120" w:line="320"/>
      </w:pPr>
      <w:r>
        <w:rPr>
          <w:rFonts w:ascii="맑은 고딕" w:cs="맑은 고딕" w:eastAsia="맑은 고딕" w:hAnsi="맑은 고딕"/>
          <w:sz w:val="22"/>
          <w:szCs w:val="22"/>
        </w:rPr>
        <w:t xml:space="preserve">AI는 질문에 답하는 챗봇에서, 도구를 쓰고 컴퓨터를 조작해 일을 직접 처리하는 에이전트로 옮겨가고 있습니다. Gartner에 따르면 2026년 1분기에 출시·업데이트된 기업용 애플리케이션의 80%가 AI 에이전트를 하나 이상 탑재했습니다(2024년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지표</w:t>
            </w:r>
          </w:p>
        </w:tc>
        <w:tc>
          <w:tcPr>
            <w:tcW w:type="dxa" w:w="27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수치</w:t>
            </w:r>
          </w:p>
        </w:tc>
        <w:tc>
          <w:tcPr>
            <w:tcW w:type="dxa" w:w="27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출처</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에이전트 탑재 기업용 앱 비율</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80% (2024년 33%)</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Gartner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AI 에이전트 사용 기업</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65%</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CrewAI 조사</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에이전트 실제 운영 비율</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57.3% (이전 51%)</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업계 조사</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에이전트로 자동화한 업무 흐름</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평균 31%</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업계 조사</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운영 단계에 못 간 시범 사업</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약 88%</w:t>
            </w:r>
          </w:p>
        </w:tc>
        <w:tc>
          <w:tcPr>
            <w:tcW w:type="dxa" w:w="27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업계 조사</w:t>
            </w:r>
          </w:p>
        </w:tc>
      </w:tr>
    </w:tbl>
    <w:p>
      <w:pPr>
        <w:spacing w:after="200" w:before="80"/>
      </w:pPr>
      <w:r>
        <w:rPr>
          <w:rFonts w:ascii="맑은 고딕" w:cs="맑은 고딕" w:eastAsia="맑은 고딕" w:hAnsi="맑은 고딕"/>
          <w:i/>
          <w:iCs/>
          <w:color w:val="595959"/>
          <w:sz w:val="18"/>
          <w:szCs w:val="18"/>
        </w:rPr>
        <w:t xml:space="preserve">표 1. AI 에이전트 도입 주요 지표</w:t>
      </w:r>
    </w:p>
    <w:p>
      <w:pPr>
        <w:spacing w:after="120" w:line="320"/>
      </w:pPr>
      <w:r>
        <w:rPr>
          <w:rFonts w:ascii="맑은 고딕" w:cs="맑은 고딕" w:eastAsia="맑은 고딕" w:hAnsi="맑은 고딕"/>
          <w:sz w:val="22"/>
          <w:szCs w:val="22"/>
        </w:rPr>
        <w:t xml:space="preserve">그러나 시범 사업의 약 88%가 실제 운영 단계로 넘어가지 못합니다. 주요 걸림돌은 평가 체계 부족(64%), 거버넌스 마찰(57%), 모델 신뢰성(51%)입니다. 도입 의지는 높지만 이를 안정적으로 운영할 체계가 아직 부족한 상황입니다.</w:t>
      </w:r>
    </w:p>
    <w:p>
      <w:pPr>
        <w:pStyle w:val="Heading2"/>
        <w:spacing w:after="120" w:before="240"/>
      </w:pPr>
      <w:r>
        <w:rPr>
          <w:rFonts w:ascii="맑은 고딕" w:cs="맑은 고딕" w:eastAsia="맑은 고딕" w:hAnsi="맑은 고딕"/>
        </w:rPr>
        <w:t xml:space="preserve">3. 투자와 인프라: 사상 최대 투자, 전력이 병목</w:t>
      </w:r>
    </w:p>
    <w:p>
      <w:pPr>
        <w:spacing w:after="120" w:line="320"/>
      </w:pPr>
      <w:r>
        <w:rPr>
          <w:rFonts w:ascii="맑은 고딕" w:cs="맑은 고딕" w:eastAsia="맑은 고딕" w:hAnsi="맑은 고딕"/>
          <w:sz w:val="22"/>
          <w:szCs w:val="22"/>
        </w:rPr>
        <w:t xml:space="preserve">2026년 하이퍼스케일러의 설비투자는 6,300억~6,970억 달러로 추정되며, 2025년(3,880억 달러)보다 약 62% 이상 늘어난 규모입니다. 이 중 약 75%(약 5,450억 달러)가 AI 인프라에 쓰입니다.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기업</w:t>
            </w:r>
          </w:p>
        </w:tc>
        <w:tc>
          <w:tcPr>
            <w:tcW w:type="dxa" w:w="3009"/>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2026년 설비투자 계획</w:t>
            </w:r>
          </w:p>
        </w:tc>
        <w:tc>
          <w:tcPr>
            <w:tcW w:type="dxa" w:w="3009"/>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2025년</w:t>
            </w:r>
          </w:p>
        </w:tc>
      </w:tr>
      <w:t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Amazon</w:t>
            </w:r>
          </w:p>
        </w:tc>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약 2,000억 달러</w:t>
            </w:r>
          </w:p>
        </w:tc>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w:t>
            </w:r>
          </w:p>
        </w:tc>
      </w:tr>
      <w:t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Meta</w:t>
            </w:r>
          </w:p>
        </w:tc>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1,150억~1,350억 달러</w:t>
            </w:r>
          </w:p>
        </w:tc>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720억 달러</w:t>
            </w:r>
          </w:p>
        </w:tc>
      </w:tr>
      <w:t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Microsoft</w:t>
            </w:r>
          </w:p>
        </w:tc>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1,100억~1,200억 달러</w:t>
            </w:r>
          </w:p>
        </w:tc>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900억 달러</w:t>
            </w:r>
          </w:p>
        </w:tc>
      </w:tr>
    </w:tbl>
    <w:p>
      <w:pPr>
        <w:spacing w:after="200" w:before="80"/>
      </w:pPr>
      <w:r>
        <w:rPr>
          <w:rFonts w:ascii="맑은 고딕" w:cs="맑은 고딕" w:eastAsia="맑은 고딕" w:hAnsi="맑은 고딕"/>
          <w:i/>
          <w:iCs/>
          <w:color w:val="595959"/>
          <w:sz w:val="18"/>
          <w:szCs w:val="18"/>
        </w:rPr>
        <w:t xml:space="preserve">표 2. 주요 하이퍼스케일러 설비투자 계획</w:t>
      </w:r>
    </w:p>
    <w:p>
      <w:pPr>
        <w:spacing w:after="120" w:line="320"/>
      </w:pPr>
      <w:r>
        <w:rPr>
          <w:rFonts w:ascii="맑은 고딕" w:cs="맑은 고딕" w:eastAsia="맑은 고딕" w:hAnsi="맑은 고딕"/>
          <w:sz w:val="22"/>
          <w:szCs w:val="22"/>
        </w:rPr>
        <w:t xml:space="preserve">주목할 점은 AI 인프라 투자의 60% 이상이 반도체가 아니라 전력, 냉각, 데이터센터 건설에 들어간다는 것입니다. 이제 AI 확장의 가장 큰 제약은 연산 장비가 아니라 전력입니다.</w:t>
      </w:r>
    </w:p>
    <w:p>
      <w:pPr>
        <w:pStyle w:val="Heading2"/>
        <w:spacing w:after="120" w:before="240"/>
      </w:pPr>
      <w:r>
        <w:rPr>
          <w:rFonts w:ascii="맑은 고딕" w:cs="맑은 고딕" w:eastAsia="맑은 고딕" w:hAnsi="맑은 고딕"/>
        </w:rPr>
        <w:t xml:space="preserve">4. 에너지: 데이터센터 전력 수요 급증</w:t>
      </w:r>
    </w:p>
    <w:p>
      <w:pPr>
        <w:spacing w:after="120" w:line="320"/>
      </w:pPr>
      <w:r>
        <w:rPr>
          <w:rFonts w:ascii="맑은 고딕" w:cs="맑은 고딕" w:eastAsia="맑은 고딕" w:hAnsi="맑은 고딕"/>
          <w:sz w:val="22"/>
          <w:szCs w:val="22"/>
        </w:rPr>
        <w:t xml:space="preserve">IEA에 따르면 2025년 데이터센터 전력 사용량은 약 485TWh로, 1년 동안 17% 늘었습니다. 특히 AI 중심 데이터센터의 수요는 50% 늘어 전 세계 전력 수요 증가율(약 3%)을 크게 웃돌았습니다.</w:t>
      </w:r>
    </w:p>
    <w:p>
      <w:pPr>
        <w:spacing w:after="120" w:line="320"/>
      </w:pPr>
      <w:r>
        <w:rPr>
          <w:rFonts w:ascii="맑은 고딕" w:cs="맑은 고딕" w:eastAsia="맑은 고딕" w:hAnsi="맑은 고딕"/>
          <w:sz w:val="22"/>
          <w:szCs w:val="22"/>
        </w:rPr>
        <w:t xml:space="preserve">IEA는 2030년 데이터센터 전력 사용량이 약 950TWh로 2025년의 두 배가 되고, 전 세계 전력 수요의 약 3%를 차지할 것으로 전망합니다. AI 중심 데이터센터의 사용량은 같은 기간 세 배로 늘어날 것으로 봅니다. 전력망 확충과 에너지 효율이 AI 경쟁력의 핵심 요소가 되고 있습니다.</w:t>
      </w:r>
    </w:p>
    <w:p>
      <w:pPr>
        <w:pStyle w:val="Heading2"/>
        <w:spacing w:after="120" w:before="240"/>
      </w:pPr>
      <w:r>
        <w:rPr>
          <w:rFonts w:ascii="맑은 고딕" w:cs="맑은 고딕" w:eastAsia="맑은 고딕" w:hAnsi="맑은 고딕"/>
        </w:rPr>
        <w:t xml:space="preserve">5. 고용과 경제: 임금 프리미엄과 신입 일자리 변화</w:t>
      </w:r>
    </w:p>
    <w:p>
      <w:pPr>
        <w:spacing w:after="120" w:line="320"/>
      </w:pPr>
      <w:r>
        <w:rPr>
          <w:rFonts w:ascii="맑은 고딕" w:cs="맑은 고딕" w:eastAsia="맑은 고딕" w:hAnsi="맑은 고딕"/>
          <w:sz w:val="22"/>
          <w:szCs w:val="22"/>
        </w:rPr>
        <w:t xml:space="preserve">AI는 숙련 인력의 가치를 높이고 있습니다. PwC가 27개 국가·지역의 채용 공고 10억 건 이상을 분석한 결과, AI 역량 보유자의 평균 임금 프리미엄은 62%로 전년(57%)보다 높아졌고, AI 역량을 요구하는 일자리는 전체 일자리보다 약 8배 빠르게(69% 대 9%) 늘었습니다. 미국 채용 공고의 2.5%가 AI 역량을 요구하며, 이는 10년 전보다 297% 늘어난 수치입니다.</w:t>
      </w:r>
    </w:p>
    <w:p>
      <w:pPr>
        <w:spacing w:after="120" w:line="320"/>
      </w:pPr>
      <w:r>
        <w:rPr>
          <w:rFonts w:ascii="맑은 고딕" w:cs="맑은 고딕" w:eastAsia="맑은 고딕" w:hAnsi="맑은 고딕"/>
          <w:sz w:val="22"/>
          <w:szCs w:val="22"/>
        </w:rPr>
        <w:t xml:space="preserve">반면 신입 일자리는 큰 변화를 겪고 있습니다. 고용주의 38%가 기초 데이터 처리 업무를 신입 직원에서 AI로 옮겼고, 31%는 신입 채용의 경력 요건을 높였습니다. AI 영향을 받는 신입 직무는 판단력, 리더십 같은 시니어급 역량을 요구할 가능성이 7배 높습니다. AI가 신입 일자리를 없애기보다는, 일을 배우던 기초 업무를 대신하면서 진입 문턱을 높이고 있다고 볼 수 있습니다.</w:t>
      </w:r>
    </w:p>
    <w:p>
      <w:pPr>
        <w:pStyle w:val="Heading2"/>
        <w:spacing w:after="120" w:before="240"/>
      </w:pPr>
      <w:r>
        <w:rPr>
          <w:rFonts w:ascii="맑은 고딕" w:cs="맑은 고딕" w:eastAsia="맑은 고딕" w:hAnsi="맑은 고딕"/>
        </w:rPr>
        <w:t xml:space="preserve">6. 규제와 정책: 갈라지는 각국의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구분</w:t>
            </w:r>
          </w:p>
        </w:tc>
        <w:tc>
          <w:tcPr>
            <w:tcW w:type="dxa" w:w="4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주요 내용</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시점</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EU</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디지털 옴니버스로 고위험 AI 의무 연기. 투명성 의무(제50조)는 예정대로 적용</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고위험(부속서 III) 2027.12.2 / 제품 내장 AI 2028.8.2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미국</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행정명령으로 주(州) AI 법에 대한 연방 우선 적용 추진, AI 소송 태스크포스 설치</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2025.12.11 행정명령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한국</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AI 기본법 전면 시행. 고영향 AI 관리 의무, 생성형 AI 표시 의무, 산업 진흥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2026.1.22 시행, 1년 이상 계도 기간</w:t>
            </w:r>
          </w:p>
        </w:tc>
      </w:tr>
    </w:tbl>
    <w:p>
      <w:pPr>
        <w:spacing w:after="200" w:before="80"/>
      </w:pPr>
      <w:r>
        <w:rPr>
          <w:rFonts w:ascii="맑은 고딕" w:cs="맑은 고딕" w:eastAsia="맑은 고딕" w:hAnsi="맑은 고딕"/>
          <w:i/>
          <w:iCs/>
          <w:color w:val="595959"/>
          <w:sz w:val="18"/>
          <w:szCs w:val="18"/>
        </w:rPr>
        <w:t xml:space="preserve">표 3. 주요국 AI 규제 동향</w:t>
      </w:r>
    </w:p>
    <w:p>
      <w:pPr>
        <w:spacing w:after="120" w:line="320"/>
      </w:pPr>
      <w:r>
        <w:rPr>
          <w:rFonts w:ascii="맑은 고딕" w:cs="맑은 고딕" w:eastAsia="맑은 고딕" w:hAnsi="맑은 고딕"/>
          <w:sz w:val="22"/>
          <w:szCs w:val="22"/>
        </w:rPr>
        <w:t xml:space="preserve">EU는 산업 경쟁력을 고려해 고위험 AI 규정의 적용을 16개월 미뤘지만, AI와 대화 중임을 알리는 투명성 의무는 그대로 유지했습니다. 미국은 주마다 다른 규제를 연방 차원에서 정리하려 하지만, 행정명령만으로는 주 법률을 무효로 만들 수 없어 법적 불확실성이 남아 있습니다.</w:t>
      </w:r>
    </w:p>
    <w:p>
      <w:pPr>
        <w:spacing w:after="120" w:line="320"/>
      </w:pPr>
      <w:r>
        <w:rPr>
          <w:rFonts w:ascii="맑은 고딕" w:cs="맑은 고딕" w:eastAsia="맑은 고딕" w:hAnsi="맑은 고딕"/>
          <w:sz w:val="22"/>
          <w:szCs w:val="22"/>
        </w:rPr>
        <w:t xml:space="preserve">한국은 2026년 1월 22일 AI 기본법을 시행해, 포괄적 AI 법을 전면 시행한 세계 첫 국가로 평가됩니다. 채용, 대출, 의료, 교육, 교통 등 약 10개 영역의 고영향 AI에 더 엄격한 의무를 부과하고, 생성형 AI 결과물에는 표시나 워터마크를 넣도록 했습니다. 동시에 R&amp;D, 데이터센터, 인재 양성 지원 같은 진흥 정책도 담았습니다.</w:t>
      </w:r>
    </w:p>
    <w:p>
      <w:pPr>
        <w:pStyle w:val="Heading2"/>
        <w:spacing w:after="120" w:before="240"/>
      </w:pPr>
      <w:r>
        <w:rPr>
          <w:rFonts w:ascii="맑은 고딕" w:cs="맑은 고딕" w:eastAsia="맑은 고딕" w:hAnsi="맑은 고딕"/>
        </w:rPr>
        <w:t xml:space="preserve">7. 안전과 위험</w:t>
      </w:r>
    </w:p>
    <w:p>
      <w:pPr>
        <w:spacing w:after="120" w:line="320"/>
      </w:pPr>
      <w:r>
        <w:rPr>
          <w:rFonts w:ascii="맑은 고딕" w:cs="맑은 고딕" w:eastAsia="맑은 고딕" w:hAnsi="맑은 고딕"/>
          <w:sz w:val="22"/>
          <w:szCs w:val="22"/>
        </w:rPr>
        <w:t xml:space="preserve">기록된 AI 사고는 1년 사이 233건에서 362건으로 늘었습니다. International AI Safety Report 2026은 위험을 세 가지로 나눕니다.</w:t>
      </w:r>
    </w:p>
    <w:p>
      <w:pPr>
        <w:pStyle w:val="ListParagraph"/>
        <w:numPr>
          <w:ilvl w:val="0"/>
          <w:numId w:val="2"/>
        </w:numPr>
        <w:spacing w:after="80" w:line="300"/>
      </w:pPr>
      <w:r>
        <w:rPr>
          <w:rFonts w:ascii="맑은 고딕" w:cs="맑은 고딕" w:eastAsia="맑은 고딕" w:hAnsi="맑은 고딕"/>
          <w:sz w:val="22"/>
          <w:szCs w:val="22"/>
        </w:rPr>
        <w:t xml:space="preserve">악의적 사용: 딥페이크 사기가 늘고 있으며, 한 평가에서 AI 에이전트가 실제 소프트웨어의 알려진 취약점 중 77%를 찾아냈습니다. 생물학 AI 도구 375개 중 안전장치를 갖춘 것은 3%뿐입니다.</w:t>
      </w:r>
    </w:p>
    <w:p>
      <w:pPr>
        <w:pStyle w:val="ListParagraph"/>
        <w:numPr>
          <w:ilvl w:val="0"/>
          <w:numId w:val="2"/>
        </w:numPr>
        <w:spacing w:after="80" w:line="300"/>
      </w:pPr>
      <w:r>
        <w:rPr>
          <w:rFonts w:ascii="맑은 고딕" w:cs="맑은 고딕" w:eastAsia="맑은 고딕" w:hAnsi="맑은 고딕"/>
          <w:sz w:val="22"/>
          <w:szCs w:val="22"/>
        </w:rPr>
        <w:t xml:space="preserve">오작동: 환각은 줄었지만, 모델이 테스트 환경과 실제 환경을 구분할 수 있어 배포 전 안전성 검증이 더 어려워졌습니다.</w:t>
      </w:r>
    </w:p>
    <w:p>
      <w:pPr>
        <w:pStyle w:val="ListParagraph"/>
        <w:numPr>
          <w:ilvl w:val="0"/>
          <w:numId w:val="2"/>
        </w:numPr>
        <w:spacing w:after="80" w:line="300"/>
      </w:pPr>
      <w:r>
        <w:rPr>
          <w:rFonts w:ascii="맑은 고딕" w:cs="맑은 고딕" w:eastAsia="맑은 고딕" w:hAnsi="맑은 고딕"/>
          <w:sz w:val="22"/>
          <w:szCs w:val="22"/>
        </w:rPr>
        <w:t xml:space="preserve">시스템적 위험: 지식 노동을 중심으로 다양한 인지 업무가 자동화될 수 있습니다.</w:t>
      </w:r>
    </w:p>
    <w:p>
      <w:pPr>
        <w:spacing w:after="120" w:line="320"/>
      </w:pPr>
      <w:r>
        <w:rPr>
          <w:rFonts w:ascii="맑은 고딕" w:cs="맑은 고딕" w:eastAsia="맑은 고딕" w:hAnsi="맑은 고딕"/>
          <w:sz w:val="22"/>
          <w:szCs w:val="22"/>
        </w:rPr>
        <w:t xml:space="preserve">보고서는 2030년까지의 시나리오가 정체부터 급격한 가속까지 폭넓다고 보며, 안전 관행과 정책이 성능 발전을 따라가지 못하고 있다고 지적합니다.</w:t>
      </w:r>
    </w:p>
    <w:p>
      <w:pPr>
        <w:pStyle w:val="Heading2"/>
        <w:spacing w:after="120" w:before="240"/>
      </w:pPr>
      <w:r>
        <w:rPr>
          <w:rFonts w:ascii="맑은 고딕" w:cs="맑은 고딕" w:eastAsia="맑은 고딕" w:hAnsi="맑은 고딕"/>
        </w:rPr>
        <w:t xml:space="preserve">8. 한국의 AI 전략</w:t>
      </w:r>
    </w:p>
    <w:p>
      <w:pPr>
        <w:spacing w:after="120" w:line="320"/>
      </w:pPr>
      <w:r>
        <w:rPr>
          <w:rFonts w:ascii="맑은 고딕" w:cs="맑은 고딕" w:eastAsia="맑은 고딕" w:hAnsi="맑은 고딕"/>
          <w:sz w:val="22"/>
          <w:szCs w:val="22"/>
        </w:rPr>
        <w:t xml:space="preserve">한국은 2025년 APEC에서 엔비디아 GPU 26만 장 공급 약속을 받았고, 2028년까지 GPU 5만 장을 자체 확보하는 것을 목표로 합니다. 독자 AI 파운데이션 모델 프로젝트에서는 LG, SKT, 업스테이지, 모티프 정예팀이 글로벌 최고 모델 대비 95% 이상의 성능을 목표로 개발하고 있습니다.</w:t>
      </w:r>
    </w:p>
    <w:p>
      <w:pPr>
        <w:spacing w:after="120" w:line="320"/>
      </w:pPr>
      <w:r>
        <w:rPr>
          <w:rFonts w:ascii="맑은 고딕" w:cs="맑은 고딕" w:eastAsia="맑은 고딕" w:hAnsi="맑은 고딕"/>
          <w:sz w:val="22"/>
          <w:szCs w:val="22"/>
        </w:rPr>
        <w:t xml:space="preserve">주요 과제는 전력 공급(전력 계통 연결 신청 약 8배 증가)과 모델의 기술 독자성 확보입니다. 세계적 흐름과 마찬가지로 한국에서도 전력이 AI 경쟁력의 핵심 변수가 되고 있습니다.</w:t>
      </w:r>
    </w:p>
    <w:p>
      <w:r>
        <w:br w:type="page"/>
      </w:r>
    </w:p>
    <w:p>
      <w:pPr>
        <w:pStyle w:val="Heading1"/>
        <w:spacing w:after="200" w:before="360"/>
      </w:pPr>
      <w:r>
        <w:rPr>
          <w:rFonts w:ascii="맑은 고딕" w:cs="맑은 고딕" w:eastAsia="맑은 고딕" w:hAnsi="맑은 고딕"/>
        </w:rPr>
        <w:t xml:space="preserve">Ⅲ. 결론</w:t>
      </w:r>
    </w:p>
    <w:p>
      <w:pPr>
        <w:pStyle w:val="Heading2"/>
        <w:spacing w:after="120" w:before="240"/>
      </w:pPr>
      <w:r>
        <w:rPr>
          <w:rFonts w:ascii="맑은 고딕" w:cs="맑은 고딕" w:eastAsia="맑은 고딕" w:hAnsi="맑은 고딕"/>
        </w:rPr>
        <w:t xml:space="preserve">1. 요약</w:t>
      </w:r>
    </w:p>
    <w:p>
      <w:pPr>
        <w:pStyle w:val="ListParagraph"/>
        <w:numPr>
          <w:ilvl w:val="0"/>
          <w:numId w:val="3"/>
        </w:numPr>
        <w:spacing w:after="80" w:line="300"/>
      </w:pPr>
      <w:r>
        <w:rPr>
          <w:rFonts w:ascii="맑은 고딕" w:cs="맑은 고딕" w:eastAsia="맑은 고딕" w:hAnsi="맑은 고딕"/>
          <w:sz w:val="22"/>
          <w:szCs w:val="22"/>
        </w:rPr>
        <w:t xml:space="preserve">AI 성능은 빠르게 오르지만 고르지 않으며, 벤치마크는 실제 신뢰성을 과대평가합니다.</w:t>
      </w:r>
    </w:p>
    <w:p>
      <w:pPr>
        <w:pStyle w:val="ListParagraph"/>
        <w:numPr>
          <w:ilvl w:val="0"/>
          <w:numId w:val="3"/>
        </w:numPr>
        <w:spacing w:after="80" w:line="300"/>
      </w:pPr>
      <w:r>
        <w:rPr>
          <w:rFonts w:ascii="맑은 고딕" w:cs="맑은 고딕" w:eastAsia="맑은 고딕" w:hAnsi="맑은 고딕"/>
          <w:sz w:val="22"/>
          <w:szCs w:val="22"/>
        </w:rPr>
        <w:t xml:space="preserve">AI 에이전트가 빠르게 퍼지고 있지만, 시범 사업 대부분은 아직 실제 운영까지 가지 못합니다.</w:t>
      </w:r>
    </w:p>
    <w:p>
      <w:pPr>
        <w:pStyle w:val="ListParagraph"/>
        <w:numPr>
          <w:ilvl w:val="0"/>
          <w:numId w:val="3"/>
        </w:numPr>
        <w:spacing w:after="80" w:line="300"/>
      </w:pPr>
      <w:r>
        <w:rPr>
          <w:rFonts w:ascii="맑은 고딕" w:cs="맑은 고딕" w:eastAsia="맑은 고딕" w:hAnsi="맑은 고딕"/>
          <w:sz w:val="22"/>
          <w:szCs w:val="22"/>
        </w:rPr>
        <w:t xml:space="preserve">투자는 사상 최대이며, 전력이 가장 큰 제약이 되었습니다.</w:t>
      </w:r>
    </w:p>
    <w:p>
      <w:pPr>
        <w:pStyle w:val="ListParagraph"/>
        <w:numPr>
          <w:ilvl w:val="0"/>
          <w:numId w:val="3"/>
        </w:numPr>
        <w:spacing w:after="80" w:line="300"/>
      </w:pPr>
      <w:r>
        <w:rPr>
          <w:rFonts w:ascii="맑은 고딕" w:cs="맑은 고딕" w:eastAsia="맑은 고딕" w:hAnsi="맑은 고딕"/>
          <w:sz w:val="22"/>
          <w:szCs w:val="22"/>
        </w:rPr>
        <w:t xml:space="preserve">AI는 숙련 인력의 임금과 생산성을 높이는 한편, 전통적인 신입 진입 경로를 좁힙니다.</w:t>
      </w:r>
    </w:p>
    <w:p>
      <w:pPr>
        <w:pStyle w:val="ListParagraph"/>
        <w:numPr>
          <w:ilvl w:val="0"/>
          <w:numId w:val="3"/>
        </w:numPr>
        <w:spacing w:after="80" w:line="300"/>
      </w:pPr>
      <w:r>
        <w:rPr>
          <w:rFonts w:ascii="맑은 고딕" w:cs="맑은 고딕" w:eastAsia="맑은 고딕" w:hAnsi="맑은 고딕"/>
          <w:sz w:val="22"/>
          <w:szCs w:val="22"/>
        </w:rPr>
        <w:t xml:space="preserve">규제 방향이 갈라지고 있습니다. EU는 일부 규정을 미루고, 미국은 연방 우선 적용을 추진하며, 한국은 포괄적인 법을 시행했습니다.</w:t>
      </w:r>
    </w:p>
    <w:p>
      <w:pPr>
        <w:pStyle w:val="ListParagraph"/>
        <w:numPr>
          <w:ilvl w:val="0"/>
          <w:numId w:val="3"/>
        </w:numPr>
        <w:spacing w:after="80" w:line="300"/>
      </w:pPr>
      <w:r>
        <w:rPr>
          <w:rFonts w:ascii="맑은 고딕" w:cs="맑은 고딕" w:eastAsia="맑은 고딕" w:hAnsi="맑은 고딕"/>
          <w:sz w:val="22"/>
          <w:szCs w:val="22"/>
        </w:rPr>
        <w:t xml:space="preserve">안전 관행과 정책이 성능 발전을 따라가지 못하고 있습니다.</w:t>
      </w:r>
    </w:p>
    <w:p>
      <w:pPr>
        <w:pStyle w:val="Heading2"/>
        <w:spacing w:after="120" w:before="240"/>
      </w:pPr>
      <w:r>
        <w:rPr>
          <w:rFonts w:ascii="맑은 고딕" w:cs="맑은 고딕" w:eastAsia="맑은 고딕" w:hAnsi="맑은 고딕"/>
        </w:rPr>
        <w:t xml:space="preserve">2. 전망</w:t>
      </w:r>
    </w:p>
    <w:p>
      <w:pPr>
        <w:spacing w:after="120" w:line="320"/>
      </w:pPr>
      <w:r>
        <w:rPr>
          <w:rFonts w:ascii="맑은 고딕" w:cs="맑은 고딕" w:eastAsia="맑은 고딕" w:hAnsi="맑은 고딕"/>
          <w:sz w:val="22"/>
          <w:szCs w:val="22"/>
        </w:rPr>
        <w:t xml:space="preserve">단기적으로는 에이전트의 실제 운영 전환, 전력 확보 경쟁, 오픈 웨이트 모델의 확산이 AI 산업의 방향을 좌우할 것입니다. 장기적인 발전 속도는 불확실하지만, AI가 경제와 사회 전반에 미치는 영향은 앞으로 더 커질 것으로 보입니다.</w:t>
      </w:r>
    </w:p>
    <w:p>
      <w:pPr>
        <w:pStyle w:val="Heading2"/>
        <w:spacing w:after="120" w:before="240"/>
      </w:pPr>
      <w:r>
        <w:rPr>
          <w:rFonts w:ascii="맑은 고딕" w:cs="맑은 고딕" w:eastAsia="맑은 고딕" w:hAnsi="맑은 고딕"/>
        </w:rPr>
        <w:t xml:space="preserve">3. 시사점</w:t>
      </w:r>
    </w:p>
    <w:p>
      <w:pPr>
        <w:pStyle w:val="ListParagraph"/>
        <w:numPr>
          <w:ilvl w:val="0"/>
          <w:numId w:val="2"/>
        </w:numPr>
        <w:spacing w:after="80" w:line="300"/>
      </w:pPr>
      <w:r>
        <w:rPr>
          <w:rFonts w:ascii="맑은 고딕" w:cs="맑은 고딕" w:eastAsia="맑은 고딕" w:hAnsi="맑은 고딕"/>
          <w:sz w:val="22"/>
          <w:szCs w:val="22"/>
        </w:rPr>
        <w:t xml:space="preserve">기업: 에이전트 도입보다 평가 체계와 거버넌스를 먼저 갖춰야 시범 사업을 실제 성과로 연결할 수 있습니다.</w:t>
      </w:r>
    </w:p>
    <w:p>
      <w:pPr>
        <w:pStyle w:val="ListParagraph"/>
        <w:numPr>
          <w:ilvl w:val="0"/>
          <w:numId w:val="2"/>
        </w:numPr>
        <w:spacing w:after="80" w:line="300"/>
      </w:pPr>
      <w:r>
        <w:rPr>
          <w:rFonts w:ascii="맑은 고딕" w:cs="맑은 고딕" w:eastAsia="맑은 고딕" w:hAnsi="맑은 고딕"/>
          <w:sz w:val="22"/>
          <w:szCs w:val="22"/>
        </w:rPr>
        <w:t xml:space="preserve">개인과 교육: AI 역량과 함께 판단력, 리더십 같은 인간 고유의 역량을 일찍부터 키워야 합니다. 신입이 경험을 쌓을 새로운 경로도 필요합니다.</w:t>
      </w:r>
    </w:p>
    <w:p>
      <w:pPr>
        <w:pStyle w:val="ListParagraph"/>
        <w:numPr>
          <w:ilvl w:val="0"/>
          <w:numId w:val="2"/>
        </w:numPr>
        <w:spacing w:after="80" w:line="300"/>
      </w:pPr>
      <w:r>
        <w:rPr>
          <w:rFonts w:ascii="맑은 고딕" w:cs="맑은 고딕" w:eastAsia="맑은 고딕" w:hAnsi="맑은 고딕"/>
          <w:sz w:val="22"/>
          <w:szCs w:val="22"/>
        </w:rPr>
        <w:t xml:space="preserve">정부: 전력망과 데이터센터 인프라 확충이 AI 정책의 핵심이 되어야 합니다. AI 기본법 계도 기간 동안 기업이 따를 수 있는 명확한 기준을 마련해야 합니다.</w:t>
      </w:r>
    </w:p>
    <w:p>
      <w:pPr>
        <w:pStyle w:val="ListParagraph"/>
        <w:numPr>
          <w:ilvl w:val="0"/>
          <w:numId w:val="2"/>
        </w:numPr>
        <w:spacing w:after="80" w:line="300"/>
      </w:pPr>
      <w:r>
        <w:rPr>
          <w:rFonts w:ascii="맑은 고딕" w:cs="맑은 고딕" w:eastAsia="맑은 고딕" w:hAnsi="맑은 고딕"/>
          <w:sz w:val="22"/>
          <w:szCs w:val="22"/>
        </w:rPr>
        <w:t xml:space="preserve">사회: AI 사고와 딥페이크 피해에 대응할 안전 검증 체계와 이용자 보호 장치를 강화해야 합니다.</w:t>
      </w:r>
    </w:p>
    <w:p>
      <w:r>
        <w:br w:type="page"/>
      </w:r>
    </w:p>
    <w:p>
      <w:pPr>
        <w:pStyle w:val="Heading1"/>
        <w:spacing w:after="200" w:before="360"/>
      </w:pPr>
      <w:r>
        <w:rPr>
          <w:rFonts w:ascii="맑은 고딕" w:cs="맑은 고딕" w:eastAsia="맑은 고딕" w:hAnsi="맑은 고딕"/>
        </w:rPr>
        <w:t xml:space="preserve">참고문헌</w:t>
      </w:r>
    </w:p>
    <w:p>
      <w:pPr>
        <w:pStyle w:val="ListParagraph"/>
        <w:numPr>
          <w:ilvl w:val="0"/>
          <w:numId w:val="2"/>
        </w:numPr>
        <w:spacing w:after="80" w:line="300"/>
      </w:pPr>
      <w:r>
        <w:rPr>
          <w:rFonts w:ascii="맑은 고딕" w:cs="맑은 고딕" w:eastAsia="맑은 고딕" w:hAnsi="맑은 고딕"/>
          <w:sz w:val="22"/>
          <w:szCs w:val="22"/>
        </w:rPr>
        <w:t xml:space="preserve">Stanford HAI, AI Index Report 2026 (2026.4)</w:t>
      </w:r>
    </w:p>
    <w:p>
      <w:pPr>
        <w:pStyle w:val="ListParagraph"/>
        <w:numPr>
          <w:ilvl w:val="0"/>
          <w:numId w:val="2"/>
        </w:numPr>
        <w:spacing w:after="80" w:line="300"/>
      </w:pPr>
      <w:r>
        <w:rPr>
          <w:rFonts w:ascii="맑은 고딕" w:cs="맑은 고딕" w:eastAsia="맑은 고딕" w:hAnsi="맑은 고딕"/>
          <w:sz w:val="22"/>
          <w:szCs w:val="22"/>
        </w:rPr>
        <w:t xml:space="preserve">International AI Safety Report 2026 (2026.2), internationalaisafetyreport.org</w:t>
      </w:r>
    </w:p>
    <w:p>
      <w:pPr>
        <w:pStyle w:val="ListParagraph"/>
        <w:numPr>
          <w:ilvl w:val="0"/>
          <w:numId w:val="2"/>
        </w:numPr>
        <w:spacing w:after="80" w:line="300"/>
      </w:pPr>
      <w:r>
        <w:rPr>
          <w:rFonts w:ascii="맑은 고딕" w:cs="맑은 고딕" w:eastAsia="맑은 고딕" w:hAnsi="맑은 고딕"/>
          <w:sz w:val="22"/>
          <w:szCs w:val="22"/>
        </w:rPr>
        <w:t xml:space="preserve">IEA, Energy and AI, iea.org/reports/key-questions-on-energy-and-ai</w:t>
      </w:r>
    </w:p>
    <w:p>
      <w:pPr>
        <w:pStyle w:val="ListParagraph"/>
        <w:numPr>
          <w:ilvl w:val="0"/>
          <w:numId w:val="2"/>
        </w:numPr>
        <w:spacing w:after="80" w:line="300"/>
      </w:pPr>
      <w:r>
        <w:rPr>
          <w:rFonts w:ascii="맑은 고딕" w:cs="맑은 고딕" w:eastAsia="맑은 고딕" w:hAnsi="맑은 고딕"/>
          <w:sz w:val="22"/>
          <w:szCs w:val="22"/>
        </w:rPr>
        <w:t xml:space="preserve">PwC, 2026 Global AI Jobs Barometer, pwc.com</w:t>
      </w:r>
    </w:p>
    <w:p>
      <w:pPr>
        <w:pStyle w:val="ListParagraph"/>
        <w:numPr>
          <w:ilvl w:val="0"/>
          <w:numId w:val="2"/>
        </w:numPr>
        <w:spacing w:after="80" w:line="300"/>
      </w:pPr>
      <w:r>
        <w:rPr>
          <w:rFonts w:ascii="맑은 고딕" w:cs="맑은 고딕" w:eastAsia="맑은 고딕" w:hAnsi="맑은 고딕"/>
          <w:sz w:val="22"/>
          <w:szCs w:val="22"/>
        </w:rPr>
        <w:t xml:space="preserve">ZipRecruiter Economic Research, 2026 AI Employer Report</w:t>
      </w:r>
    </w:p>
    <w:p>
      <w:pPr>
        <w:pStyle w:val="ListParagraph"/>
        <w:numPr>
          <w:ilvl w:val="0"/>
          <w:numId w:val="2"/>
        </w:numPr>
        <w:spacing w:after="80" w:line="300"/>
      </w:pPr>
      <w:r>
        <w:rPr>
          <w:rFonts w:ascii="맑은 고딕" w:cs="맑은 고딕" w:eastAsia="맑은 고딕" w:hAnsi="맑은 고딕"/>
          <w:sz w:val="22"/>
          <w:szCs w:val="22"/>
        </w:rPr>
        <w:t xml:space="preserve">J.P. Morgan, Financing AI infrastructure and U.S. data centers</w:t>
      </w:r>
    </w:p>
    <w:p>
      <w:pPr>
        <w:pStyle w:val="ListParagraph"/>
        <w:numPr>
          <w:ilvl w:val="0"/>
          <w:numId w:val="2"/>
        </w:numPr>
        <w:spacing w:after="80" w:line="300"/>
      </w:pPr>
      <w:r>
        <w:rPr>
          <w:rFonts w:ascii="맑은 고딕" w:cs="맑은 고딕" w:eastAsia="맑은 고딕" w:hAnsi="맑은 고딕"/>
          <w:sz w:val="22"/>
          <w:szCs w:val="22"/>
        </w:rPr>
        <w:t xml:space="preserve">Digital Commerce 360, Survey: Enterprises move AI agents from pilots to production (2026.2)</w:t>
      </w:r>
    </w:p>
    <w:p>
      <w:pPr>
        <w:pStyle w:val="ListParagraph"/>
        <w:numPr>
          <w:ilvl w:val="0"/>
          <w:numId w:val="2"/>
        </w:numPr>
        <w:spacing w:after="80" w:line="300"/>
      </w:pPr>
      <w:r>
        <w:rPr>
          <w:rFonts w:ascii="맑은 고딕" w:cs="맑은 고딕" w:eastAsia="맑은 고딕" w:hAnsi="맑은 고딕"/>
          <w:sz w:val="22"/>
          <w:szCs w:val="22"/>
        </w:rPr>
        <w:t xml:space="preserve">Orrick, EU AI Act Update: Digital Omnibus Finalizes 8 Compliance Changes (2026.7)</w:t>
      </w:r>
    </w:p>
    <w:p>
      <w:pPr>
        <w:pStyle w:val="ListParagraph"/>
        <w:numPr>
          <w:ilvl w:val="0"/>
          <w:numId w:val="2"/>
        </w:numPr>
        <w:spacing w:after="80" w:line="300"/>
      </w:pPr>
      <w:r>
        <w:rPr>
          <w:rFonts w:ascii="맑은 고딕" w:cs="맑은 고딕" w:eastAsia="맑은 고딕" w:hAnsi="맑은 고딕"/>
          <w:sz w:val="22"/>
          <w:szCs w:val="22"/>
        </w:rPr>
        <w:t xml:space="preserve">Gibson Dunn, EU AI Act Omnibus Agreement — Postponed High-Risk Deadlines</w:t>
      </w:r>
    </w:p>
    <w:p>
      <w:pPr>
        <w:pStyle w:val="ListParagraph"/>
        <w:numPr>
          <w:ilvl w:val="0"/>
          <w:numId w:val="2"/>
        </w:numPr>
        <w:spacing w:after="80" w:line="300"/>
      </w:pPr>
      <w:r>
        <w:rPr>
          <w:rFonts w:ascii="맑은 고딕" w:cs="맑은 고딕" w:eastAsia="맑은 고딕" w:hAnsi="맑은 고딕"/>
          <w:sz w:val="22"/>
          <w:szCs w:val="22"/>
        </w:rPr>
        <w:t xml:space="preserve">Hogan Lovells, White House issues executive order to establish a federal AI policy and preempt state laws</w:t>
      </w:r>
    </w:p>
    <w:p>
      <w:pPr>
        <w:pStyle w:val="ListParagraph"/>
        <w:numPr>
          <w:ilvl w:val="0"/>
          <w:numId w:val="2"/>
        </w:numPr>
        <w:spacing w:after="80" w:line="300"/>
      </w:pPr>
      <w:r>
        <w:rPr>
          <w:rFonts w:ascii="맑은 고딕" w:cs="맑은 고딕" w:eastAsia="맑은 고딕" w:hAnsi="맑은 고딕"/>
          <w:sz w:val="22"/>
          <w:szCs w:val="22"/>
        </w:rPr>
        <w:t xml:space="preserve">KB Think, AI 기본법 시행ㅣAI 산업에 어떤 변화가 있을지 살펴봐요</w:t>
      </w:r>
    </w:p>
    <w:p>
      <w:pPr>
        <w:pStyle w:val="ListParagraph"/>
        <w:numPr>
          <w:ilvl w:val="0"/>
          <w:numId w:val="2"/>
        </w:numPr>
        <w:spacing w:after="80" w:line="300"/>
      </w:pPr>
      <w:r>
        <w:rPr>
          <w:rFonts w:ascii="맑은 고딕" w:cs="맑은 고딕" w:eastAsia="맑은 고딕" w:hAnsi="맑은 고딕"/>
          <w:sz w:val="22"/>
          <w:szCs w:val="22"/>
        </w:rPr>
        <w:t xml:space="preserve">법무법인 세종, AI 기본법 시행과 그 시사점</w:t>
      </w:r>
    </w:p>
    <w:p>
      <w:pPr>
        <w:pStyle w:val="ListParagraph"/>
        <w:numPr>
          <w:ilvl w:val="0"/>
          <w:numId w:val="2"/>
        </w:numPr>
        <w:spacing w:after="80" w:line="300"/>
      </w:pPr>
      <w:r>
        <w:rPr>
          <w:rFonts w:ascii="맑은 고딕" w:cs="맑은 고딕" w:eastAsia="맑은 고딕" w:hAnsi="맑은 고딕"/>
          <w:sz w:val="22"/>
          <w:szCs w:val="22"/>
        </w:rPr>
        <w:t xml:space="preserve">한국경제, 배경훈 "한국도 프론티어 모델 개발해야…GPU 26만장도 부족" (2026.5)</w:t>
      </w:r>
    </w:p>
    <w:p>
      <w:pPr>
        <w:pStyle w:val="ListParagraph"/>
        <w:numPr>
          <w:ilvl w:val="0"/>
          <w:numId w:val="2"/>
        </w:numPr>
        <w:spacing w:after="80" w:line="300"/>
      </w:pPr>
      <w:r>
        <w:rPr>
          <w:rFonts w:ascii="맑은 고딕" w:cs="맑은 고딕" w:eastAsia="맑은 고딕" w:hAnsi="맑은 고딕"/>
          <w:sz w:val="22"/>
          <w:szCs w:val="22"/>
        </w:rPr>
        <w:t xml:space="preserve">헤럴드경제, 배경훈-젠슨 황 면담, GPU 26만장·AI 팩토리 연내 도입</w:t>
      </w:r>
    </w:p>
    <w:p>
      <w:pPr>
        <w:pStyle w:val="ListParagraph"/>
        <w:numPr>
          <w:ilvl w:val="0"/>
          <w:numId w:val="2"/>
        </w:numPr>
        <w:spacing w:after="80" w:line="300"/>
      </w:pPr>
      <w:r>
        <w:rPr>
          <w:rFonts w:ascii="맑은 고딕" w:cs="맑은 고딕" w:eastAsia="맑은 고딕" w:hAnsi="맑은 고딕"/>
          <w:sz w:val="22"/>
          <w:szCs w:val="22"/>
        </w:rPr>
        <w:t xml:space="preserve">TeamDay.ai, Best AI Models 2026 / NeuralWired, Best Open Source AI Models 2026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outlineLvl w:val="1"/>
    </w:pPr>
    <w:rPr>
      <w:rFonts w:ascii="맑은 고딕" w:cs="맑은 고딕" w:eastAsia="맑은 고딕" w:hAnsi="맑은 고딕"/>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발전 현황과 전망</dc:title>
  <dc:creator>Chunsik</dc:creator>
  <cp:lastModifiedBy>Un-named</cp:lastModifiedBy>
  <cp:revision>1</cp:revision>
  <dcterms:created xsi:type="dcterms:W3CDTF">2026-10-04T07:40:25.088Z</dcterms:created>
  <dcterms:modified xsi:type="dcterms:W3CDTF">2026-10-04T07:40:25.088Z</dcterms:modified>
</cp:coreProperties>
</file>

<file path=docProps/custom.xml><?xml version="1.0" encoding="utf-8"?>
<Properties xmlns="http://schemas.openxmlformats.org/officeDocument/2006/custom-properties" xmlns:vt="http://schemas.openxmlformats.org/officeDocument/2006/docPropsVTypes"/>
</file>