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pStyle w:val="Title"/>
      </w:pPr>
      <w:r>
        <w:t xml:space="preserve">AI 발전 현황과 전망</w:t>
      </w:r>
    </w:p>
    <w:p>
      <w:pPr>
        <w:spacing w:after="600"/>
        <w:jc w:val="center"/>
      </w:pPr>
      <w:r>
        <w:rPr>
          <w:rFonts w:ascii="Malgun Gothic" w:cs="Malgun Gothic" w:eastAsia="Malgun Gothic" w:hAnsi="Malgun Gothic"/>
          <w:color w:val="595959"/>
          <w:sz w:val="28"/>
          <w:szCs w:val="28"/>
        </w:rPr>
        <w:t xml:space="preserve">성능·경제·사회·제도 측면에서 본 2026년의 인공지능</w:t>
      </w:r>
    </w:p>
    <w:p>
      <w:pPr>
        <w:jc w:val="center"/>
      </w:pPr>
      <w:r>
        <w:rPr>
          <w:rFonts w:ascii="Malgun Gothic" w:cs="Malgun Gothic" w:eastAsia="Malgun Gothic" w:hAnsi="Malgun Gothic"/>
          <w:sz w:val="24"/>
          <w:szCs w:val="24"/>
        </w:rPr>
        <w:t xml:space="preserve">2026년 10월</w:t>
      </w:r>
    </w:p>
    <w:p>
      <w:r>
        <w:br w:type="page"/>
      </w:r>
    </w:p>
    <w:p>
      <w:pPr>
        <w:spacing w:after="200"/>
      </w:pPr>
      <w:r>
        <w:rPr>
          <w:rFonts w:ascii="Malgun Gothic" w:cs="Malgun Gothic" w:eastAsia="Malgun Gothic" w:hAnsi="Malgun Gothic"/>
          <w:b/>
          <w:bCs/>
          <w:color w:val="1F4E79"/>
          <w:sz w:val="32"/>
          <w:szCs w:val="32"/>
        </w:rPr>
        <w:t xml:space="preserve">목차</w:t>
      </w:r>
    </w:p>
    <w:sdt>
      <w:sdtPr>
        <w:alias w:val="목차"/>
      </w:sdtPr>
      <w:sdtContent>
        <w:p>
          <w:pPr>
            <w:pStyle w:val="TOC1"/>
            <w:tabs>
              <w:tab w:val="right" w:pos="9026" w:leader="dot"/>
            </w:tabs>
          </w:pPr>
          <w:r>
            <w:fldChar w:fldCharType="begin" w:dirty="true"/>
            <w:instrText xml:space="preserve">TOC \h \o "1-2"</w:instrText>
            <w:fldChar w:fldCharType="separate"/>
          </w:r>
          <w:hyperlink w:history="1" w:anchor="_Toc1">
            <w:r>
              <w:t xml:space="preserve">Ⅰ. 서론</w:t>
            </w:r>
            <w:r>
              <w:tab/>
            </w:r>
            <w:r>
              <w:fldChar w:fldCharType="begin" w:dirty="true"/>
              <w:instrText xml:space="preserve">PAGEREF _Toc1 \h</w:instrText>
              <w:fldChar w:fldCharType="separate"/>
              <w:fldChar w:fldCharType="end"/>
            </w:r>
          </w:hyperlink>
        </w:p>
        <w:p>
          <w:pPr>
            <w:pStyle w:val="TOC2"/>
            <w:tabs>
              <w:tab w:val="right" w:pos="9026" w:leader="dot"/>
            </w:tabs>
            <w:ind w:left="220"/>
          </w:pPr>
          <w:hyperlink w:history="1" w:anchor="_Toc2">
            <w:r>
              <w:t xml:space="preserve">1. 연구 배경</w:t>
            </w:r>
            <w:r>
              <w:tab/>
            </w:r>
            <w:r>
              <w:fldChar w:fldCharType="begin" w:dirty="true"/>
              <w:instrText xml:space="preserve">PAGEREF _Toc2 \h</w:instrText>
              <w:fldChar w:fldCharType="separate"/>
              <w:fldChar w:fldCharType="end"/>
            </w:r>
          </w:hyperlink>
        </w:p>
        <w:p>
          <w:pPr>
            <w:pStyle w:val="TOC2"/>
            <w:tabs>
              <w:tab w:val="right" w:pos="9026" w:leader="dot"/>
            </w:tabs>
            <w:ind w:left="220"/>
          </w:pPr>
          <w:hyperlink w:history="1" w:anchor="_Toc3">
            <w:r>
              <w:t xml:space="preserve">2. 연구 목적 및 범위</w:t>
            </w:r>
            <w:r>
              <w:tab/>
            </w:r>
            <w:r>
              <w:fldChar w:fldCharType="begin" w:dirty="true"/>
              <w:instrText xml:space="preserve">PAGEREF _Toc3 \h</w:instrText>
              <w:fldChar w:fldCharType="separate"/>
              <w:fldChar w:fldCharType="end"/>
            </w:r>
          </w:hyperlink>
        </w:p>
        <w:p>
          <w:pPr>
            <w:pStyle w:val="TOC1"/>
            <w:tabs>
              <w:tab w:val="right" w:pos="9026" w:leader="dot"/>
            </w:tabs>
          </w:pPr>
          <w:hyperlink w:history="1" w:anchor="_Toc4">
            <w:r>
              <w:t xml:space="preserve">Ⅱ. 본론</w:t>
            </w:r>
            <w:r>
              <w:tab/>
            </w:r>
            <w:r>
              <w:fldChar w:fldCharType="begin" w:dirty="true"/>
              <w:instrText xml:space="preserve">PAGEREF _Toc4 \h</w:instrText>
              <w:fldChar w:fldCharType="separate"/>
              <w:fldChar w:fldCharType="end"/>
            </w:r>
          </w:hyperlink>
        </w:p>
        <w:p>
          <w:pPr>
            <w:pStyle w:val="TOC2"/>
            <w:tabs>
              <w:tab w:val="right" w:pos="9026" w:leader="dot"/>
            </w:tabs>
            <w:ind w:left="220"/>
          </w:pPr>
          <w:hyperlink w:history="1" w:anchor="_Toc5">
            <w:r>
              <w:t xml:space="preserve">1. 모델 성능: 가속하지만 고르지 않은 발전</w:t>
            </w:r>
            <w:r>
              <w:tab/>
            </w:r>
            <w:r>
              <w:fldChar w:fldCharType="begin" w:dirty="true"/>
              <w:instrText xml:space="preserve">PAGEREF _Toc5 \h</w:instrText>
              <w:fldChar w:fldCharType="separate"/>
              <w:fldChar w:fldCharType="end"/>
            </w:r>
          </w:hyperlink>
        </w:p>
        <w:p>
          <w:pPr>
            <w:pStyle w:val="TOC2"/>
            <w:tabs>
              <w:tab w:val="right" w:pos="9026" w:leader="dot"/>
            </w:tabs>
            <w:ind w:left="220"/>
          </w:pPr>
          <w:hyperlink w:history="1" w:anchor="_Toc6">
            <w:r>
              <w:t xml:space="preserve">2. 패러다임 전환: 챗봇에서 에이전트로</w:t>
            </w:r>
            <w:r>
              <w:tab/>
            </w:r>
            <w:r>
              <w:fldChar w:fldCharType="begin" w:dirty="true"/>
              <w:instrText xml:space="preserve">PAGEREF _Toc6 \h</w:instrText>
              <w:fldChar w:fldCharType="separate"/>
              <w:fldChar w:fldCharType="end"/>
            </w:r>
          </w:hyperlink>
        </w:p>
        <w:p>
          <w:pPr>
            <w:pStyle w:val="TOC2"/>
            <w:tabs>
              <w:tab w:val="right" w:pos="9026" w:leader="dot"/>
            </w:tabs>
            <w:ind w:left="220"/>
          </w:pPr>
          <w:hyperlink w:history="1" w:anchor="_Toc7">
            <w:r>
              <w:t xml:space="preserve">3. 경제적 측면: 투자 급증과 비용 급락</w:t>
            </w:r>
            <w:r>
              <w:tab/>
            </w:r>
            <w:r>
              <w:fldChar w:fldCharType="begin" w:dirty="true"/>
              <w:instrText xml:space="preserve">PAGEREF _Toc7 \h</w:instrText>
              <w:fldChar w:fldCharType="separate"/>
              <w:fldChar w:fldCharType="end"/>
            </w:r>
          </w:hyperlink>
        </w:p>
        <w:p>
          <w:pPr>
            <w:pStyle w:val="TOC2"/>
            <w:tabs>
              <w:tab w:val="right" w:pos="9026" w:leader="dot"/>
            </w:tabs>
            <w:ind w:left="220"/>
          </w:pPr>
          <w:hyperlink w:history="1" w:anchor="_Toc8">
            <w:r>
              <w:t xml:space="preserve">4. 인프라와 에너지: 성장의 물리적 한계</w:t>
            </w:r>
            <w:r>
              <w:tab/>
            </w:r>
            <w:r>
              <w:fldChar w:fldCharType="begin" w:dirty="true"/>
              <w:instrText xml:space="preserve">PAGEREF _Toc8 \h</w:instrText>
              <w:fldChar w:fldCharType="separate"/>
              <w:fldChar w:fldCharType="end"/>
            </w:r>
          </w:hyperlink>
        </w:p>
        <w:p>
          <w:pPr>
            <w:pStyle w:val="TOC2"/>
            <w:tabs>
              <w:tab w:val="right" w:pos="9026" w:leader="dot"/>
            </w:tabs>
            <w:ind w:left="220"/>
          </w:pPr>
          <w:hyperlink w:history="1" w:anchor="_Toc9">
            <w:r>
              <w:t xml:space="preserve">5. 노동 시장: 생산성 향상과 대체 우려의 공존</w:t>
            </w:r>
            <w:r>
              <w:tab/>
            </w:r>
            <w:r>
              <w:fldChar w:fldCharType="begin" w:dirty="true"/>
              <w:instrText xml:space="preserve">PAGEREF _Toc9 \h</w:instrText>
              <w:fldChar w:fldCharType="separate"/>
              <w:fldChar w:fldCharType="end"/>
            </w:r>
          </w:hyperlink>
        </w:p>
        <w:p>
          <w:pPr>
            <w:pStyle w:val="TOC2"/>
            <w:tabs>
              <w:tab w:val="right" w:pos="9026" w:leader="dot"/>
            </w:tabs>
            <w:ind w:left="220"/>
          </w:pPr>
          <w:hyperlink w:history="1" w:anchor="_Toc10">
            <w:r>
              <w:t xml:space="preserve">6. 과학과 의료: 실질적이지만 초기 단계의 성과</w:t>
            </w:r>
            <w:r>
              <w:tab/>
            </w:r>
            <w:r>
              <w:fldChar w:fldCharType="begin" w:dirty="true"/>
              <w:instrText xml:space="preserve">PAGEREF _Toc10 \h</w:instrText>
              <w:fldChar w:fldCharType="separate"/>
              <w:fldChar w:fldCharType="end"/>
            </w:r>
          </w:hyperlink>
        </w:p>
        <w:p>
          <w:pPr>
            <w:pStyle w:val="TOC2"/>
            <w:tabs>
              <w:tab w:val="right" w:pos="9026" w:leader="dot"/>
            </w:tabs>
            <w:ind w:left="220"/>
          </w:pPr>
          <w:hyperlink w:history="1" w:anchor="_Toc11">
            <w:r>
              <w:t xml:space="preserve">7. 안전과 규제: 발전 속도를 따라가지 못하는 제도</w:t>
            </w:r>
            <w:r>
              <w:tab/>
            </w:r>
            <w:r>
              <w:fldChar w:fldCharType="begin" w:dirty="true"/>
              <w:instrText xml:space="preserve">PAGEREF _Toc11 \h</w:instrText>
              <w:fldChar w:fldCharType="separate"/>
              <w:fldChar w:fldCharType="end"/>
            </w:r>
          </w:hyperlink>
        </w:p>
        <w:p>
          <w:pPr>
            <w:pStyle w:val="TOC2"/>
            <w:tabs>
              <w:tab w:val="right" w:pos="9026" w:leader="dot"/>
            </w:tabs>
            <w:ind w:left="220"/>
          </w:pPr>
          <w:hyperlink w:history="1" w:anchor="_Toc12">
            <w:r>
              <w:t xml:space="preserve">8. 한국의 대응</w:t>
            </w:r>
            <w:r>
              <w:tab/>
            </w:r>
            <w:r>
              <w:fldChar w:fldCharType="begin" w:dirty="true"/>
              <w:instrText xml:space="preserve">PAGEREF _Toc12 \h</w:instrText>
              <w:fldChar w:fldCharType="separate"/>
              <w:fldChar w:fldCharType="end"/>
            </w:r>
          </w:hyperlink>
        </w:p>
        <w:p>
          <w:pPr>
            <w:pStyle w:val="TOC1"/>
            <w:tabs>
              <w:tab w:val="right" w:pos="9026" w:leader="dot"/>
            </w:tabs>
          </w:pPr>
          <w:hyperlink w:history="1" w:anchor="_Toc13">
            <w:r>
              <w:t xml:space="preserve">Ⅲ. 결론</w:t>
            </w:r>
            <w:r>
              <w:tab/>
            </w:r>
            <w:r>
              <w:fldChar w:fldCharType="begin" w:dirty="true"/>
              <w:instrText xml:space="preserve">PAGEREF _Toc13 \h</w:instrText>
              <w:fldChar w:fldCharType="separate"/>
              <w:fldChar w:fldCharType="end"/>
            </w:r>
          </w:hyperlink>
        </w:p>
        <w:p>
          <w:pPr>
            <w:pStyle w:val="TOC2"/>
            <w:tabs>
              <w:tab w:val="right" w:pos="9026" w:leader="dot"/>
            </w:tabs>
            <w:ind w:left="220"/>
          </w:pPr>
          <w:hyperlink w:history="1" w:anchor="_Toc14">
            <w:r>
              <w:t xml:space="preserve">1. 요약</w:t>
            </w:r>
            <w:r>
              <w:tab/>
            </w:r>
            <w:r>
              <w:fldChar w:fldCharType="begin" w:dirty="true"/>
              <w:instrText xml:space="preserve">PAGEREF _Toc14 \h</w:instrText>
              <w:fldChar w:fldCharType="separate"/>
              <w:fldChar w:fldCharType="end"/>
            </w:r>
          </w:hyperlink>
        </w:p>
        <w:p>
          <w:pPr>
            <w:pStyle w:val="TOC2"/>
            <w:tabs>
              <w:tab w:val="right" w:pos="9026" w:leader="dot"/>
            </w:tabs>
            <w:ind w:left="220"/>
          </w:pPr>
          <w:hyperlink w:history="1" w:anchor="_Toc15">
            <w:r>
              <w:t xml:space="preserve">2. 시사점 및 제언</w:t>
            </w:r>
            <w:r>
              <w:tab/>
            </w:r>
            <w:r>
              <w:fldChar w:fldCharType="begin" w:dirty="true"/>
              <w:instrText xml:space="preserve">PAGEREF _Toc15 \h</w:instrText>
              <w:fldChar w:fldCharType="separate"/>
              <w:fldChar w:fldCharType="end"/>
            </w:r>
          </w:hyperlink>
        </w:p>
        <w:p>
          <w:pPr>
            <w:pStyle w:val="TOC2"/>
            <w:tabs>
              <w:tab w:val="right" w:pos="9026" w:leader="dot"/>
            </w:tabs>
            <w:ind w:left="220"/>
          </w:pPr>
          <w:hyperlink w:history="1" w:anchor="_Toc16">
            <w:r>
              <w:t xml:space="preserve">참고 자료</w:t>
            </w:r>
            <w:r>
              <w:tab/>
            </w:r>
            <w:r>
              <w:fldChar w:fldCharType="begin" w:dirty="true"/>
              <w:instrText xml:space="preserve">PAGEREF _Toc16 \h</w:instrText>
              <w:fldChar w:fldCharType="separate"/>
              <w:fldChar w:fldCharType="end"/>
            </w:r>
          </w:hyperlink>
        </w:p>
        <w:p>
          <w:r>
            <w:fldChar w:fldCharType="end"/>
          </w:r>
        </w:p>
      </w:sdtContent>
    </w:sdt>
    <w:p>
      <w:r>
        <w:br w:type="page"/>
      </w:r>
    </w:p>
    <w:p>
      <w:pPr>
        <w:pStyle w:val="Heading1"/>
      </w:pPr>
      <w:bookmarkStart w:name="_Toc1" w:id="1"/>
      <w:r>
        <w:t xml:space="preserve">Ⅰ. 서론</w:t>
      </w:r>
      <w:bookmarkEnd w:id="1"/>
    </w:p>
    <w:p>
      <w:pPr>
        <w:pStyle w:val="Heading2"/>
      </w:pPr>
      <w:bookmarkStart w:name="_Toc2" w:id="2"/>
      <w:r>
        <w:t xml:space="preserve">1. 연구 배경</w:t>
      </w:r>
      <w:bookmarkEnd w:id="2"/>
    </w:p>
    <w:p>
      <w:pPr>
        <w:spacing w:after="160" w:line="360"/>
        <w:jc w:val="both"/>
      </w:pPr>
      <w:r>
        <w:rPr>
          <w:rFonts w:ascii="Malgun Gothic" w:cs="Malgun Gothic" w:eastAsia="Malgun Gothic" w:hAnsi="Malgun Gothic"/>
          <w:sz w:val="22"/>
          <w:szCs w:val="22"/>
        </w:rPr>
        <w:t xml:space="preserve">인공지능(AI)은 2020년대 들어 가장 빠르게 발전하는 기술 분야로 자리 잡았다. 특히 2022년 말 대화형 생성형 AI가 대중에 공개된 이후 불과 몇 년 만에 AI는 연구실의 기술에서 일상과 산업 전반에 쓰이는 범용 기술로 바뀌었다. 스탠퍼드 대학교의 「AI Index 2026」에 따르면 생성형 AI는 이미 인구의 53%에 보급되었으며, 이는 PC나 인터넷이 같은 수준에 도달한 속도보다 빠르다.</w:t>
      </w:r>
    </w:p>
    <w:p>
      <w:pPr>
        <w:spacing w:after="160" w:line="360"/>
        <w:jc w:val="both"/>
      </w:pPr>
      <w:r>
        <w:rPr>
          <w:rFonts w:ascii="Malgun Gothic" w:cs="Malgun Gothic" w:eastAsia="Malgun Gothic" w:hAnsi="Malgun Gothic"/>
          <w:sz w:val="22"/>
          <w:szCs w:val="22"/>
        </w:rPr>
        <w:t xml:space="preserve">그러나 이러한 급속한 발전은 기회와 동시에 새로운 과제를 낳고 있다. 막대한 투자와 에너지 소비, 노동 시장의 변화, 안전 사고의 증가, 그리고 이를 관리할 제도의 지연이 함께 나타나고 있다. 따라서 AI 발전의 현황을 균형 있게 파악하는 일은 개인, 기업, 정부 모두에게 중요한 과제가 되었다.</w:t>
      </w:r>
    </w:p>
    <w:p>
      <w:pPr>
        <w:pStyle w:val="Heading2"/>
      </w:pPr>
      <w:bookmarkStart w:name="_Toc3" w:id="3"/>
      <w:r>
        <w:t xml:space="preserve">2. 연구 목적 및 범위</w:t>
      </w:r>
      <w:bookmarkEnd w:id="3"/>
    </w:p>
    <w:p>
      <w:pPr>
        <w:spacing w:after="160" w:line="360"/>
        <w:jc w:val="both"/>
      </w:pPr>
      <w:r>
        <w:rPr>
          <w:rFonts w:ascii="Malgun Gothic" w:cs="Malgun Gothic" w:eastAsia="Malgun Gothic" w:hAnsi="Malgun Gothic"/>
          <w:sz w:val="22"/>
          <w:szCs w:val="22"/>
        </w:rPr>
        <w:t xml:space="preserve">본 보고서는 2026년 10월 현재 AI 발전의 주요 흐름을 정리하고, 그것이 경제·사회·제도에 미치는 영향을 분석하는 것을 목적으로 한다. 분석 범위는 다음 다섯 가지 영역이다.</w:t>
      </w:r>
    </w:p>
    <w:p>
      <w:pPr>
        <w:pStyle w:val="ListParagraph"/>
        <w:numPr>
          <w:ilvl w:val="0"/>
          <w:numId w:val="2"/>
        </w:numPr>
        <w:spacing w:after="80" w:line="340"/>
      </w:pPr>
      <w:r>
        <w:rPr>
          <w:rFonts w:ascii="Malgun Gothic" w:cs="Malgun Gothic" w:eastAsia="Malgun Gothic" w:hAnsi="Malgun Gothic"/>
          <w:sz w:val="22"/>
          <w:szCs w:val="22"/>
        </w:rPr>
        <w:t xml:space="preserve">모델 성능의 발전과 기술 경쟁 구도</w:t>
      </w:r>
    </w:p>
    <w:p>
      <w:pPr>
        <w:pStyle w:val="ListParagraph"/>
        <w:numPr>
          <w:ilvl w:val="0"/>
          <w:numId w:val="2"/>
        </w:numPr>
        <w:spacing w:after="80" w:line="340"/>
      </w:pPr>
      <w:r>
        <w:rPr>
          <w:rFonts w:ascii="Malgun Gothic" w:cs="Malgun Gothic" w:eastAsia="Malgun Gothic" w:hAnsi="Malgun Gothic"/>
          <w:sz w:val="22"/>
          <w:szCs w:val="22"/>
        </w:rPr>
        <w:t xml:space="preserve">챗봇에서 자율 에이전트로의 패러다임 전환</w:t>
      </w:r>
    </w:p>
    <w:p>
      <w:pPr>
        <w:pStyle w:val="ListParagraph"/>
        <w:numPr>
          <w:ilvl w:val="0"/>
          <w:numId w:val="2"/>
        </w:numPr>
        <w:spacing w:after="80" w:line="340"/>
      </w:pPr>
      <w:r>
        <w:rPr>
          <w:rFonts w:ascii="Malgun Gothic" w:cs="Malgun Gothic" w:eastAsia="Malgun Gothic" w:hAnsi="Malgun Gothic"/>
          <w:sz w:val="22"/>
          <w:szCs w:val="22"/>
        </w:rPr>
        <w:t xml:space="preserve">투자·비용·에너지 등 경제적 측면</w:t>
      </w:r>
    </w:p>
    <w:p>
      <w:pPr>
        <w:pStyle w:val="ListParagraph"/>
        <w:numPr>
          <w:ilvl w:val="0"/>
          <w:numId w:val="2"/>
        </w:numPr>
        <w:spacing w:after="80" w:line="340"/>
      </w:pPr>
      <w:r>
        <w:rPr>
          <w:rFonts w:ascii="Malgun Gothic" w:cs="Malgun Gothic" w:eastAsia="Malgun Gothic" w:hAnsi="Malgun Gothic"/>
          <w:sz w:val="22"/>
          <w:szCs w:val="22"/>
        </w:rPr>
        <w:t xml:space="preserve">노동 시장, 과학·의료 등 사회적 영향</w:t>
      </w:r>
    </w:p>
    <w:p>
      <w:pPr>
        <w:pStyle w:val="ListParagraph"/>
        <w:numPr>
          <w:ilvl w:val="0"/>
          <w:numId w:val="2"/>
        </w:numPr>
        <w:spacing w:after="80" w:line="340"/>
      </w:pPr>
      <w:r>
        <w:rPr>
          <w:rFonts w:ascii="Malgun Gothic" w:cs="Malgun Gothic" w:eastAsia="Malgun Gothic" w:hAnsi="Malgun Gothic"/>
          <w:sz w:val="22"/>
          <w:szCs w:val="22"/>
        </w:rPr>
        <w:t xml:space="preserve">안전·규제 동향과 한국의 대응</w:t>
      </w:r>
    </w:p>
    <w:p>
      <w:pPr>
        <w:spacing w:after="160" w:line="360"/>
        <w:jc w:val="both"/>
      </w:pPr>
      <w:r>
        <w:rPr>
          <w:rFonts w:ascii="Malgun Gothic" w:cs="Malgun Gothic" w:eastAsia="Malgun Gothic" w:hAnsi="Malgun Gothic"/>
          <w:sz w:val="22"/>
          <w:szCs w:val="22"/>
        </w:rPr>
        <w:t xml:space="preserve">자료는 스탠퍼드 HAI의 AI Index 2026, Gartner, IEA, Gallup, S&amp;P Global, 미국 FDA 등의 보고서와 관련 보도를 조사하여 정리하였다(조사 정리본: research/ai-development-research.md).</w:t>
      </w:r>
    </w:p>
    <w:p>
      <w:r>
        <w:br w:type="page"/>
      </w:r>
    </w:p>
    <w:p>
      <w:pPr>
        <w:pStyle w:val="Heading1"/>
      </w:pPr>
      <w:bookmarkStart w:name="_Toc4" w:id="4"/>
      <w:r>
        <w:t xml:space="preserve">Ⅱ. 본론</w:t>
      </w:r>
      <w:bookmarkEnd w:id="4"/>
    </w:p>
    <w:p>
      <w:pPr>
        <w:pStyle w:val="Heading2"/>
      </w:pPr>
      <w:bookmarkStart w:name="_Toc5" w:id="5"/>
      <w:r>
        <w:t xml:space="preserve">1. 모델 성능: 가속하지만 고르지 않은 발전</w:t>
      </w:r>
      <w:bookmarkEnd w:id="5"/>
    </w:p>
    <w:p>
      <w:pPr>
        <w:spacing w:after="160" w:line="360"/>
        <w:jc w:val="both"/>
      </w:pPr>
      <w:r>
        <w:rPr>
          <w:rFonts w:ascii="Malgun Gothic" w:cs="Malgun Gothic" w:eastAsia="Malgun Gothic" w:hAnsi="Malgun Gothic"/>
          <w:sz w:val="22"/>
          <w:szCs w:val="22"/>
        </w:rPr>
        <w:t xml:space="preserve">AI 성능은 정체되지 않고 오히려 가속하고 있다. 소프트웨어 개발 능력을 평가하는 SWE-bench에서 AI의 점수는 단 1년 만에 약 60%에서 거의 100%로 올랐다. 최첨단 모델은 박사 수준의 과학 문제, 멀티모달 추론, 경시대회 수준의 수학에서 인간 전문가와 같거나 그 이상의 성과를 보인다.</w:t>
      </w:r>
    </w:p>
    <w:p>
      <w:pPr>
        <w:spacing w:after="160" w:line="360"/>
        <w:jc w:val="both"/>
      </w:pPr>
      <w:r>
        <w:rPr>
          <w:rFonts w:ascii="Malgun Gothic" w:cs="Malgun Gothic" w:eastAsia="Malgun Gothic" w:hAnsi="Malgun Gothic"/>
          <w:sz w:val="22"/>
          <w:szCs w:val="22"/>
        </w:rPr>
        <w:t xml:space="preserve">다만 이 발전은 고르지 않다. 국제수학올림피아드에서 금메달 수준의 성적을 내는 모델이 아날로그 시계는 50.1%만 정확히 읽는다. 이른바 "들쭉날쭉한 최전선(jagged frontier)"은 AI가 어떤 영역에서는 인간을 뛰어넘으면서도 사람에게 쉬운 일에서 실수할 수 있음을 보여 준다. 이는 AI를 실제 업무에 적용할 때 영역별 검증이 반드시 필요하다는 점을 시사한다.</w:t>
      </w:r>
    </w:p>
    <w:p>
      <w:pPr>
        <w:spacing w:after="160" w:line="360"/>
        <w:jc w:val="both"/>
      </w:pPr>
      <w:r>
        <w:rPr>
          <w:rFonts w:ascii="Malgun Gothic" w:cs="Malgun Gothic" w:eastAsia="Malgun Gothic" w:hAnsi="Malgun Gothic"/>
          <w:sz w:val="22"/>
          <w:szCs w:val="22"/>
        </w:rPr>
        <w:t xml:space="preserve">경쟁 구도도 크게 바뀌었다. 2026년 상반기에는 OpenAI, Google DeepMind, Anthropic이 몇 주 간격으로 최첨단 모델을 내놓았고, 선두 기업 간 성능 차이는 한 자릿수 퍼센트포인트로 좁혀졌다. 국가 단위로 보면 미국과 중국 최상위 모델 간 격차는 사실상 사라졌다. 중국은 논문·인용·특허 수에서 앞서고, 미국은 영향력 높은 특허와 최상위 모델 수에서 우위를 지키고 있다. 또한 2025년 주요 모델의 90% 이상이 기업에서 나와, AI 연구의 중심이 학계에서 산업계로 옮겨 갔음을 보여 준다.</w:t>
      </w:r>
    </w:p>
    <w:p>
      <w:pPr>
        <w:pStyle w:val="Heading2"/>
      </w:pPr>
      <w:bookmarkStart w:name="_Toc6" w:id="6"/>
      <w:r>
        <w:t xml:space="preserve">2. 패러다임 전환: 챗봇에서 에이전트로</w:t>
      </w:r>
      <w:bookmarkEnd w:id="6"/>
    </w:p>
    <w:p>
      <w:pPr>
        <w:spacing w:after="160" w:line="360"/>
        <w:jc w:val="both"/>
      </w:pPr>
      <w:r>
        <w:rPr>
          <w:rFonts w:ascii="Malgun Gothic" w:cs="Malgun Gothic" w:eastAsia="Malgun Gothic" w:hAnsi="Malgun Gothic"/>
          <w:sz w:val="22"/>
          <w:szCs w:val="22"/>
        </w:rPr>
        <w:t xml:space="preserve">2026년 AI 발전의 가장 큰 특징은 "말하는 AI"에서 "행동하는 AI"로의 전환이다. AI 에이전트는 회의를 예약하고, 고객관리 시스템을 갱신하며, 코드를 작성해 제출하고, 업무 요청을 처리하는 일을 점점 적은 인간 감독 아래에서 수행한다.</w:t>
      </w:r>
    </w:p>
    <w:p>
      <w:pPr>
        <w:spacing w:after="160" w:line="360"/>
        <w:jc w:val="both"/>
      </w:pPr>
      <w:r>
        <w:rPr>
          <w:rFonts w:ascii="Malgun Gothic" w:cs="Malgun Gothic" w:eastAsia="Malgun Gothic" w:hAnsi="Malgun Gothic"/>
          <w:sz w:val="22"/>
          <w:szCs w:val="22"/>
        </w:rPr>
        <w:t xml:space="preserve">이 전환을 가능하게 한 기술적 요인은 세 가지다. 첫째, 다단계 계획에 더 많은 연산을 투입하는 추론 중심 모델이 주류가 되었다. 둘째, 외부 도구를 사용하는 능력이 기본 기능이 되어 최첨단 모델은 50개 이상의 도구를 안정적으로 다룬다. 셋째, 매우 긴 문맥을 처리할 수 있게 되어 복잡한 작업의 맥락을 유지할 수 있다. 그 결과 AI의 경쟁력은 단순한 지식의 양이 아니라 속도, 긴 문맥 추론, 그리고 신뢰할 수 있는 자율 수행 능력으로 평가받게 되었다.</w:t>
      </w:r>
    </w:p>
    <w:p>
      <w:pPr>
        <w:pStyle w:val="Heading2"/>
      </w:pPr>
      <w:bookmarkStart w:name="_Toc7" w:id="7"/>
      <w:r>
        <w:t xml:space="preserve">3. 경제적 측면: 투자 급증과 비용 급락</w:t>
      </w:r>
      <w:bookmarkEnd w:id="7"/>
    </w:p>
    <w:p>
      <w:pPr>
        <w:spacing w:after="160" w:line="360"/>
        <w:jc w:val="both"/>
      </w:pPr>
      <w:r>
        <w:rPr>
          <w:rFonts w:ascii="Malgun Gothic" w:cs="Malgun Gothic" w:eastAsia="Malgun Gothic" w:hAnsi="Malgun Gothic"/>
          <w:sz w:val="22"/>
          <w:szCs w:val="22"/>
        </w:rPr>
        <w:t xml:space="preserve">AI는 이미 기업 경영의 표준 도구가 되었다. 조직의 AI 도입률은 88%에 이르렀다. 투자도 빠르게 늘어 2026년 상위 5개 하이퍼스케일 기업의 데이터센터·AI 인프라 설비투자는 약 6,020억 달러로 전망되며, 이는 2025년 약 4,000억 달러에서 크게 증가한 수치다. 민간 AI 투자에서도 생성형 AI가 거의 절반을 차지하고, 10억 달러 이상 대형 투자 건수는 두 배 가까이 늘었다.</w:t>
      </w:r>
    </w:p>
    <w:p>
      <w:pPr>
        <w:spacing w:after="160" w:line="360"/>
        <w:jc w:val="both"/>
      </w:pPr>
      <w:r>
        <w:rPr>
          <w:rFonts w:ascii="Malgun Gothic" w:cs="Malgun Gothic" w:eastAsia="Malgun Gothic" w:hAnsi="Malgun Gothic"/>
          <w:sz w:val="22"/>
          <w:szCs w:val="22"/>
        </w:rPr>
        <w:t xml:space="preserve">반면 AI를 사용하는 단위 비용은 극적으로 떨어지고 있다. 대형 언어 모델의 추론 비용은 매년 약 10배씩 하락해, 2022년 말 100만 토큰당 20달러였던 GPT-4 수준 성능을 지금은 약 0.40달러에 이용할 수 있다. 이러한 가격 하락은 AI의 대중화를 이끌었고, AI 역사상 처음으로 추론 지출이 학습 지출을 넘어서는 결과로 이어졌다. 즉 AI 산업의 중심이 "모델을 만드는 단계"에서 "모델을 쓰는 단계"로 옮겨 가고 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426"/>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Malgun Gothic" w:cs="Malgun Gothic" w:eastAsia="Malgun Gothic" w:hAnsi="Malgun Gothic"/>
                <w:b/>
                <w:bCs/>
                <w:color w:val="FFFFFF"/>
                <w:sz w:val="20"/>
                <w:szCs w:val="20"/>
              </w:rPr>
              <w:t xml:space="preserve">구분</w:t>
            </w:r>
          </w:p>
        </w:tc>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Malgun Gothic" w:cs="Malgun Gothic" w:eastAsia="Malgun Gothic" w:hAnsi="Malgun Gothic"/>
                <w:b/>
                <w:bCs/>
                <w:color w:val="FFFFFF"/>
                <w:sz w:val="20"/>
                <w:szCs w:val="20"/>
              </w:rPr>
              <w:t xml:space="preserve">지표</w:t>
            </w:r>
          </w:p>
        </w:tc>
        <w:tc>
          <w:tcPr>
            <w:tcW w:type="dxa" w:w="34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Malgun Gothic" w:cs="Malgun Gothic" w:eastAsia="Malgun Gothic" w:hAnsi="Malgun Gothic"/>
                <w:b/>
                <w:bCs/>
                <w:color w:val="FFFFFF"/>
                <w:sz w:val="20"/>
                <w:szCs w:val="20"/>
              </w:rPr>
              <w:t xml:space="preserve">수치</w:t>
            </w:r>
          </w:p>
        </w:tc>
      </w:tr>
      <w:tr>
        <w:trPr>
          <w:tblHeader w:val="off"/>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성능</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SWE-bench(코딩) 점수</w:t>
            </w:r>
          </w:p>
        </w:tc>
        <w:tc>
          <w:tcPr>
            <w:tcW w:type="dxa" w:w="3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약 60% → 거의 100% (1년)</w:t>
            </w:r>
          </w:p>
        </w:tc>
      </w:tr>
      <w:tr>
        <w:trPr>
          <w:tblHeader w:val="off"/>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도입</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조직의 AI 도입률</w:t>
            </w:r>
          </w:p>
        </w:tc>
        <w:tc>
          <w:tcPr>
            <w:tcW w:type="dxa" w:w="3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88%</w:t>
            </w:r>
          </w:p>
        </w:tc>
      </w:tr>
      <w:tr>
        <w:trPr>
          <w:tblHeader w:val="off"/>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도입</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생성형 AI 인구 보급률</w:t>
            </w:r>
          </w:p>
        </w:tc>
        <w:tc>
          <w:tcPr>
            <w:tcW w:type="dxa" w:w="3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53%</w:t>
            </w:r>
          </w:p>
        </w:tc>
      </w:tr>
      <w:tr>
        <w:trPr>
          <w:tblHeader w:val="off"/>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투자</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상위 5개 빅테크 AI 인프라 설비투자</w:t>
            </w:r>
          </w:p>
        </w:tc>
        <w:tc>
          <w:tcPr>
            <w:tcW w:type="dxa" w:w="3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약 4,000억 → 6,020억 달러</w:t>
            </w:r>
          </w:p>
        </w:tc>
      </w:tr>
      <w:tr>
        <w:trPr>
          <w:tblHeader w:val="off"/>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비용</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GPT-4급 추론 비용(100만 토큰)</w:t>
            </w:r>
          </w:p>
        </w:tc>
        <w:tc>
          <w:tcPr>
            <w:tcW w:type="dxa" w:w="3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20달러 → 약 0.40달러</w:t>
            </w:r>
          </w:p>
        </w:tc>
      </w:tr>
      <w:tr>
        <w:trPr>
          <w:tblHeader w:val="off"/>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에너지</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전 세계 데이터센터 전력 수요</w:t>
            </w:r>
          </w:p>
        </w:tc>
        <w:tc>
          <w:tcPr>
            <w:tcW w:type="dxa" w:w="3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104GW → 약 132GW</w:t>
            </w:r>
          </w:p>
        </w:tc>
      </w:tr>
      <w:tr>
        <w:trPr>
          <w:tblHeader w:val="off"/>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안전</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기록된 AI 사고 건수</w:t>
            </w:r>
          </w:p>
        </w:tc>
        <w:tc>
          <w:tcPr>
            <w:tcW w:type="dxa" w:w="3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233건 → 362건 (2024→2025)</w:t>
            </w:r>
          </w:p>
        </w:tc>
      </w:tr>
      <w:tr>
        <w:trPr>
          <w:tblHeader w:val="off"/>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의료</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FDA 승인 AI 의료기기</w:t>
            </w:r>
          </w:p>
        </w:tc>
        <w:tc>
          <w:tcPr>
            <w:tcW w:type="dxa" w:w="3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1,451개 (영상의학 1,104개)</w:t>
            </w:r>
          </w:p>
        </w:tc>
      </w:tr>
    </w:tbl>
    <w:p>
      <w:pPr>
        <w:spacing w:after="240" w:before="80"/>
        <w:jc w:val="center"/>
      </w:pPr>
      <w:r>
        <w:rPr>
          <w:rFonts w:ascii="Malgun Gothic" w:cs="Malgun Gothic" w:eastAsia="Malgun Gothic" w:hAnsi="Malgun Gothic"/>
          <w:i/>
          <w:iCs/>
          <w:color w:val="595959"/>
          <w:sz w:val="18"/>
          <w:szCs w:val="18"/>
        </w:rPr>
        <w:t xml:space="preserve">[표 1] AI 발전 관련 주요 지표 (출처: AI Index 2026, Gartner, FDA 등)</w:t>
      </w:r>
    </w:p>
    <w:p>
      <w:pPr>
        <w:pStyle w:val="Heading2"/>
      </w:pPr>
      <w:bookmarkStart w:name="_Toc8" w:id="8"/>
      <w:r>
        <w:t xml:space="preserve">4. 인프라와 에너지: 성장의 물리적 한계</w:t>
      </w:r>
      <w:bookmarkEnd w:id="8"/>
    </w:p>
    <w:p>
      <w:pPr>
        <w:spacing w:after="160" w:line="360"/>
        <w:jc w:val="both"/>
      </w:pPr>
      <w:r>
        <w:rPr>
          <w:rFonts w:ascii="Malgun Gothic" w:cs="Malgun Gothic" w:eastAsia="Malgun Gothic" w:hAnsi="Malgun Gothic"/>
          <w:sz w:val="22"/>
          <w:szCs w:val="22"/>
        </w:rPr>
        <w:t xml:space="preserve">AI의 성장은 막대한 전력을 필요로 한다. Gartner는 2026년 전 세계 데이터센터 전력 수요가 약 27% 늘어 132GW에 이를 것으로 전망했다. 국제에너지기구(IEA)에 따르면 2025년 데이터센터 전력 소비 증가율(17%)은 전체 전력 수요 증가율(3%)의 다섯 배를 넘었으며, 2030년에는 약 945TWh로 2024년의 두 배에 이를 것으로 보인다. AI 전용 서버는 2026년 데이터센터 전력의 31%를 차지하고, 2027년에는 일반 서버를 넘어설 전망이다.</w:t>
      </w:r>
    </w:p>
    <w:p>
      <w:pPr>
        <w:spacing w:after="160" w:line="360"/>
        <w:jc w:val="both"/>
      </w:pPr>
      <w:r>
        <w:rPr>
          <w:rFonts w:ascii="Malgun Gothic" w:cs="Malgun Gothic" w:eastAsia="Malgun Gothic" w:hAnsi="Malgun Gothic"/>
          <w:sz w:val="22"/>
          <w:szCs w:val="22"/>
        </w:rPr>
        <w:t xml:space="preserve">개별 모델의 효율은 높아지고 있지만, 사용량 증가가 이를 압도하면서 총 에너지 소비는 오히려 늘고 있다. 전력망 확충, 친환경 에너지 확보, 냉각 기술 등이 AI 발전의 속도를 좌우하는 새로운 변수가 되었다.</w:t>
      </w:r>
    </w:p>
    <w:p>
      <w:pPr>
        <w:pStyle w:val="Heading2"/>
      </w:pPr>
      <w:bookmarkStart w:name="_Toc9" w:id="9"/>
      <w:r>
        <w:t xml:space="preserve">5. 노동 시장: 생산성 향상과 대체 우려의 공존</w:t>
      </w:r>
      <w:bookmarkEnd w:id="9"/>
    </w:p>
    <w:p>
      <w:pPr>
        <w:spacing w:after="160" w:line="360"/>
        <w:jc w:val="both"/>
      </w:pPr>
      <w:r>
        <w:rPr>
          <w:rFonts w:ascii="Malgun Gothic" w:cs="Malgun Gothic" w:eastAsia="Malgun Gothic" w:hAnsi="Malgun Gothic"/>
          <w:sz w:val="22"/>
          <w:szCs w:val="22"/>
        </w:rPr>
        <w:t xml:space="preserve">AI가 일자리에 미치는 영향은 양면적이다. Gallup이 2026년 2월 미국 근로자 23,717명을 조사한 결과, AI를 도입한 조직의 근로자 65%가 AI 덕분에 생산성이 높아졌다고 답했다. 동시에 전체 근로자의 18%, AI 도입 조직 근로자의 23%는 5년 안에 AI로 자신의 일자리가 사라질 수 있다고 우려했다.</w:t>
      </w:r>
    </w:p>
    <w:p>
      <w:pPr>
        <w:spacing w:after="160" w:line="360"/>
        <w:jc w:val="both"/>
      </w:pPr>
      <w:r>
        <w:rPr>
          <w:rFonts w:ascii="Malgun Gothic" w:cs="Malgun Gothic" w:eastAsia="Malgun Gothic" w:hAnsi="Malgun Gothic"/>
          <w:sz w:val="22"/>
          <w:szCs w:val="22"/>
        </w:rPr>
        <w:t xml:space="preserve">S&amp;P Global은 2026년 AI의 전 세계 순고용 효과가 소폭 부정적으로 돌아섰다고 분석했다. 다만 기업들이 AI 도입에서 우선시하는 목표는 프로세스 효율화(64%)와 직원 생산성 향상(59%)이며, 인력 감축(24%)은 상대적으로 낮았다. 세계경제포럼은 2030년까지 1억 7,000만 개의 일자리가 새로 생기고 9,200만 개가 대체되어 순증 7,800만 개를 예상한다. 결국 핵심 과제는 일자리의 총량보다 직무 전환과 재교육을 얼마나 원활하게 지원하느냐에 있다.</w:t>
      </w:r>
    </w:p>
    <w:p>
      <w:pPr>
        <w:pStyle w:val="Heading2"/>
      </w:pPr>
      <w:bookmarkStart w:name="_Toc10" w:id="10"/>
      <w:r>
        <w:t xml:space="preserve">6. 과학과 의료: 실질적이지만 초기 단계의 성과</w:t>
      </w:r>
      <w:bookmarkEnd w:id="10"/>
    </w:p>
    <w:p>
      <w:pPr>
        <w:spacing w:after="160" w:line="360"/>
        <w:jc w:val="both"/>
      </w:pPr>
      <w:r>
        <w:rPr>
          <w:rFonts w:ascii="Malgun Gothic" w:cs="Malgun Gothic" w:eastAsia="Malgun Gothic" w:hAnsi="Malgun Gothic"/>
          <w:sz w:val="22"/>
          <w:szCs w:val="22"/>
        </w:rPr>
        <w:t xml:space="preserve">AI는 과학 연구와 의료 현장에서도 가시적인 성과를 내고 있다. 미국 FDA가 승인한 AI 기반 의료기기는 1,451개에 이르며, 그중 1,104개가 영상의학 분야다. FDA는 2026년 8월 생성형 AI 의료기기에 대한 위험 비례형 규제 방안을 논의하는 문서를 발표하기도 했다.</w:t>
      </w:r>
    </w:p>
    <w:p>
      <w:pPr>
        <w:spacing w:after="160" w:line="360"/>
        <w:jc w:val="both"/>
      </w:pPr>
      <w:r>
        <w:rPr>
          <w:rFonts w:ascii="Malgun Gothic" w:cs="Malgun Gothic" w:eastAsia="Malgun Gothic" w:hAnsi="Malgun Gothic"/>
          <w:sz w:val="22"/>
          <w:szCs w:val="22"/>
        </w:rPr>
        <w:t xml:space="preserve">신약 개발에서는 173개 이상의 AI 설계 후보 물질이 임상 단계에 있으며, 임상 1상 성공률이 과거 평균 약 52%보다 높은 80~90%로 보고된다. 다만 2026년 7월 기준 AI가 발견한 신약이 FDA 최종 승인을 받은 사례는 아직 없으며, 가장 앞선 Insilico Medicine의 렌토서팁이 2026년 7월 특발성 폐섬유증 치료제로 임상 3상에 들어갔다. 재료과학에서는 Google DeepMind의 GNoME가 240만 개의 안정적 결정 구조를 예측했고, AI 에이전트가 로봇 실험실을 운영하며 신소재를 합성하는 단계에 이르렀다.</w:t>
      </w:r>
    </w:p>
    <w:p>
      <w:pPr>
        <w:pStyle w:val="Heading2"/>
      </w:pPr>
      <w:bookmarkStart w:name="_Toc11" w:id="11"/>
      <w:r>
        <w:t xml:space="preserve">7. 안전과 규제: 발전 속도를 따라가지 못하는 제도</w:t>
      </w:r>
      <w:bookmarkEnd w:id="11"/>
    </w:p>
    <w:p>
      <w:pPr>
        <w:spacing w:after="160" w:line="360"/>
        <w:jc w:val="both"/>
      </w:pPr>
      <w:r>
        <w:rPr>
          <w:rFonts w:ascii="Malgun Gothic" w:cs="Malgun Gothic" w:eastAsia="Malgun Gothic" w:hAnsi="Malgun Gothic"/>
          <w:sz w:val="22"/>
          <w:szCs w:val="22"/>
        </w:rPr>
        <w:t xml:space="preserve">AI의 발전과 확산 속도는 이를 평가하고 감독하는 체계를 앞지르고 있다. AI Index 2026에 따르면 기록된 AI 사고는 2024년 233건에서 2025년 362건으로 크게 늘었다. 이에 따라 각국은 본격적인 규제 시행에 들어갔다.</w:t>
      </w:r>
    </w:p>
    <w:p>
      <w:pPr>
        <w:pStyle w:val="ListParagraph"/>
        <w:numPr>
          <w:ilvl w:val="0"/>
          <w:numId w:val="2"/>
        </w:numPr>
        <w:spacing w:after="80" w:line="340"/>
      </w:pPr>
      <w:r>
        <w:rPr>
          <w:rFonts w:ascii="Malgun Gothic" w:cs="Malgun Gothic" w:eastAsia="Malgun Gothic" w:hAnsi="Malgun Gothic"/>
          <w:b/>
          <w:bCs/>
          <w:sz w:val="22"/>
          <w:szCs w:val="22"/>
        </w:rPr>
        <w:t xml:space="preserve">EU AI Act:</w:t>
      </w:r>
      <w:r>
        <w:rPr>
          <w:rFonts w:ascii="Malgun Gothic" w:cs="Malgun Gothic" w:eastAsia="Malgun Gothic" w:hAnsi="Malgun Gothic"/>
          <w:sz w:val="22"/>
          <w:szCs w:val="22"/>
        </w:rPr>
        <w:t xml:space="preserve"> 2025년 2월부터 일부 조항이 시행되었으며, 2027년까지 단계적으로 적용된다.</w:t>
      </w:r>
    </w:p>
    <w:p>
      <w:pPr>
        <w:pStyle w:val="ListParagraph"/>
        <w:numPr>
          <w:ilvl w:val="0"/>
          <w:numId w:val="2"/>
        </w:numPr>
        <w:spacing w:after="80" w:line="340"/>
      </w:pPr>
      <w:r>
        <w:rPr>
          <w:rFonts w:ascii="Malgun Gothic" w:cs="Malgun Gothic" w:eastAsia="Malgun Gothic" w:hAnsi="Malgun Gothic"/>
          <w:b/>
          <w:bCs/>
          <w:sz w:val="22"/>
          <w:szCs w:val="22"/>
        </w:rPr>
        <w:t xml:space="preserve">한국 AI 기본법:</w:t>
      </w:r>
      <w:r>
        <w:rPr>
          <w:rFonts w:ascii="Malgun Gothic" w:cs="Malgun Gothic" w:eastAsia="Malgun Gothic" w:hAnsi="Malgun Gothic"/>
          <w:sz w:val="22"/>
          <w:szCs w:val="22"/>
        </w:rPr>
        <w:t xml:space="preserve"> 2024년 12월 국회를 통과해 2026년 1월 22일 시행되었다. 아시아 최초의 포괄적 AI 법률로, 생성형 AI와 생명·안전·기본권에 중대한 영향을 미치는 "고영향 AI"에 투명성 등의 의무를 부과하고 역외 적용을 규정한다.</w:t>
      </w:r>
    </w:p>
    <w:p>
      <w:pPr>
        <w:spacing w:after="160" w:line="360"/>
        <w:jc w:val="both"/>
      </w:pPr>
      <w:r>
        <w:rPr>
          <w:rFonts w:ascii="Malgun Gothic" w:cs="Malgun Gothic" w:eastAsia="Malgun Gothic" w:hAnsi="Malgun Gothic"/>
          <w:sz w:val="22"/>
          <w:szCs w:val="22"/>
        </w:rPr>
        <w:t xml:space="preserve">이처럼 2026년은 주요 AI 규제가 실제 준수 단계에 들어선 첫해로 평가된다.</w:t>
      </w:r>
    </w:p>
    <w:p>
      <w:pPr>
        <w:pStyle w:val="Heading2"/>
      </w:pPr>
      <w:bookmarkStart w:name="_Toc12" w:id="12"/>
      <w:r>
        <w:t xml:space="preserve">8. 한국의 대응</w:t>
      </w:r>
      <w:bookmarkEnd w:id="12"/>
    </w:p>
    <w:p>
      <w:pPr>
        <w:spacing w:after="160" w:line="360"/>
        <w:jc w:val="both"/>
      </w:pPr>
      <w:r>
        <w:rPr>
          <w:rFonts w:ascii="Malgun Gothic" w:cs="Malgun Gothic" w:eastAsia="Malgun Gothic" w:hAnsi="Malgun Gothic"/>
          <w:sz w:val="22"/>
          <w:szCs w:val="22"/>
        </w:rPr>
        <w:t xml:space="preserve">한국은 컴퓨팅 인프라 확보와 법제도 정비를 두 축으로 AI 경쟁력 강화에 나서고 있다. 2025년 APEC 정상회의를 계기로 정부와 삼성, SK, 현대, 네이버가 NVIDIA의 최신 GPU 약 26만 개를 도입하기로 하였다. 정부는 국가 AI 컴퓨팅 센터와 국내 클라우드 사업자를 통해 5만 개 이상을 소버린 AI 인프라에 투입하고, 삼성과 SK도 각각 5만 개 이상 규모의 AI 팩토리를 구축한다. 여기에 아시아 최초의 AI 기본법 시행이 더해져, 한국은 기술 기반과 제도 기반을 함께 갖춰 가고 있다. 다만 GPU뿐 아니라 고품질 데이터와 인재 확보가 함께 이루어져야 한다는 지적이 이어지고 있다.</w:t>
      </w:r>
    </w:p>
    <w:p>
      <w:r>
        <w:br w:type="page"/>
      </w:r>
    </w:p>
    <w:p>
      <w:pPr>
        <w:pStyle w:val="Heading1"/>
      </w:pPr>
      <w:bookmarkStart w:name="_Toc13" w:id="13"/>
      <w:r>
        <w:t xml:space="preserve">Ⅲ. 결론</w:t>
      </w:r>
      <w:bookmarkEnd w:id="13"/>
    </w:p>
    <w:p>
      <w:pPr>
        <w:pStyle w:val="Heading2"/>
      </w:pPr>
      <w:bookmarkStart w:name="_Toc14" w:id="14"/>
      <w:r>
        <w:t xml:space="preserve">1. 요약</w:t>
      </w:r>
      <w:bookmarkEnd w:id="14"/>
    </w:p>
    <w:p>
      <w:pPr>
        <w:spacing w:after="160" w:line="360"/>
        <w:jc w:val="both"/>
      </w:pPr>
      <w:r>
        <w:rPr>
          <w:rFonts w:ascii="Malgun Gothic" w:cs="Malgun Gothic" w:eastAsia="Malgun Gothic" w:hAnsi="Malgun Gothic"/>
          <w:sz w:val="22"/>
          <w:szCs w:val="22"/>
        </w:rPr>
        <w:t xml:space="preserve">본 보고서는 2026년 AI 발전의 현황을 성능, 패러다임, 경제, 에너지, 노동, 과학·의료, 규제의 측면에서 살펴보았다. 핵심 내용은 다음과 같다.</w:t>
      </w:r>
    </w:p>
    <w:p>
      <w:pPr>
        <w:pStyle w:val="ListParagraph"/>
        <w:numPr>
          <w:ilvl w:val="0"/>
          <w:numId w:val="3"/>
        </w:numPr>
        <w:spacing w:after="80" w:line="340"/>
      </w:pPr>
      <w:r>
        <w:rPr>
          <w:rFonts w:ascii="Malgun Gothic" w:cs="Malgun Gothic" w:eastAsia="Malgun Gothic" w:hAnsi="Malgun Gothic"/>
          <w:b/>
          <w:bCs/>
          <w:sz w:val="22"/>
          <w:szCs w:val="22"/>
        </w:rPr>
        <w:t xml:space="preserve">성능의 가속과 불균형:</w:t>
      </w:r>
      <w:r>
        <w:rPr>
          <w:rFonts w:ascii="Malgun Gothic" w:cs="Malgun Gothic" w:eastAsia="Malgun Gothic" w:hAnsi="Malgun Gothic"/>
          <w:sz w:val="22"/>
          <w:szCs w:val="22"/>
        </w:rPr>
        <w:t xml:space="preserve"> AI 성능은 빠르게 향상되고 있으나 영역별로 고르지 않다.</w:t>
      </w:r>
    </w:p>
    <w:p>
      <w:pPr>
        <w:pStyle w:val="ListParagraph"/>
        <w:numPr>
          <w:ilvl w:val="0"/>
          <w:numId w:val="3"/>
        </w:numPr>
        <w:spacing w:after="80" w:line="340"/>
      </w:pPr>
      <w:r>
        <w:rPr>
          <w:rFonts w:ascii="Malgun Gothic" w:cs="Malgun Gothic" w:eastAsia="Malgun Gothic" w:hAnsi="Malgun Gothic"/>
          <w:b/>
          <w:bCs/>
          <w:sz w:val="22"/>
          <w:szCs w:val="22"/>
        </w:rPr>
        <w:t xml:space="preserve">에이전트로의 전환:</w:t>
      </w:r>
      <w:r>
        <w:rPr>
          <w:rFonts w:ascii="Malgun Gothic" w:cs="Malgun Gothic" w:eastAsia="Malgun Gothic" w:hAnsi="Malgun Gothic"/>
          <w:sz w:val="22"/>
          <w:szCs w:val="22"/>
        </w:rPr>
        <w:t xml:space="preserve"> AI는 대화하는 도구에서 스스로 업무를 수행하는 에이전트로 진화하고 있다.</w:t>
      </w:r>
    </w:p>
    <w:p>
      <w:pPr>
        <w:pStyle w:val="ListParagraph"/>
        <w:numPr>
          <w:ilvl w:val="0"/>
          <w:numId w:val="3"/>
        </w:numPr>
        <w:spacing w:after="80" w:line="340"/>
      </w:pPr>
      <w:r>
        <w:rPr>
          <w:rFonts w:ascii="Malgun Gothic" w:cs="Malgun Gothic" w:eastAsia="Malgun Gothic" w:hAnsi="Malgun Gothic"/>
          <w:b/>
          <w:bCs/>
          <w:sz w:val="22"/>
          <w:szCs w:val="22"/>
        </w:rPr>
        <w:t xml:space="preserve">비용과 규모의 역설:</w:t>
      </w:r>
      <w:r>
        <w:rPr>
          <w:rFonts w:ascii="Malgun Gothic" w:cs="Malgun Gothic" w:eastAsia="Malgun Gothic" w:hAnsi="Malgun Gothic"/>
          <w:sz w:val="22"/>
          <w:szCs w:val="22"/>
        </w:rPr>
        <w:t xml:space="preserve"> 단위 비용은 급락하지만 총 투자와 에너지 소비는 급증하고 있다.</w:t>
      </w:r>
    </w:p>
    <w:p>
      <w:pPr>
        <w:pStyle w:val="ListParagraph"/>
        <w:numPr>
          <w:ilvl w:val="0"/>
          <w:numId w:val="3"/>
        </w:numPr>
        <w:spacing w:after="80" w:line="340"/>
      </w:pPr>
      <w:r>
        <w:rPr>
          <w:rFonts w:ascii="Malgun Gothic" w:cs="Malgun Gothic" w:eastAsia="Malgun Gothic" w:hAnsi="Malgun Gothic"/>
          <w:b/>
          <w:bCs/>
          <w:sz w:val="22"/>
          <w:szCs w:val="22"/>
        </w:rPr>
        <w:t xml:space="preserve">노동 시장의 양면성:</w:t>
      </w:r>
      <w:r>
        <w:rPr>
          <w:rFonts w:ascii="Malgun Gothic" w:cs="Malgun Gothic" w:eastAsia="Malgun Gothic" w:hAnsi="Malgun Gothic"/>
          <w:sz w:val="22"/>
          <w:szCs w:val="22"/>
        </w:rPr>
        <w:t xml:space="preserve"> 생산성 향상과 일자리 대체 우려가 공존한다.</w:t>
      </w:r>
    </w:p>
    <w:p>
      <w:pPr>
        <w:pStyle w:val="ListParagraph"/>
        <w:numPr>
          <w:ilvl w:val="0"/>
          <w:numId w:val="3"/>
        </w:numPr>
        <w:spacing w:after="80" w:line="340"/>
      </w:pPr>
      <w:r>
        <w:rPr>
          <w:rFonts w:ascii="Malgun Gothic" w:cs="Malgun Gothic" w:eastAsia="Malgun Gothic" w:hAnsi="Malgun Gothic"/>
          <w:b/>
          <w:bCs/>
          <w:sz w:val="22"/>
          <w:szCs w:val="22"/>
        </w:rPr>
        <w:t xml:space="preserve">과학·의료의 가능성:</w:t>
      </w:r>
      <w:r>
        <w:rPr>
          <w:rFonts w:ascii="Malgun Gothic" w:cs="Malgun Gothic" w:eastAsia="Malgun Gothic" w:hAnsi="Malgun Gothic"/>
          <w:sz w:val="22"/>
          <w:szCs w:val="22"/>
        </w:rPr>
        <w:t xml:space="preserve"> 과학·의료에서 실질적 성과가 나타나지만 아직 초기 단계다.</w:t>
      </w:r>
    </w:p>
    <w:p>
      <w:pPr>
        <w:pStyle w:val="ListParagraph"/>
        <w:numPr>
          <w:ilvl w:val="0"/>
          <w:numId w:val="3"/>
        </w:numPr>
        <w:spacing w:after="80" w:line="340"/>
      </w:pPr>
      <w:r>
        <w:rPr>
          <w:rFonts w:ascii="Malgun Gothic" w:cs="Malgun Gothic" w:eastAsia="Malgun Gothic" w:hAnsi="Malgun Gothic"/>
          <w:b/>
          <w:bCs/>
          <w:sz w:val="22"/>
          <w:szCs w:val="22"/>
        </w:rPr>
        <w:t xml:space="preserve">제도의 지연:</w:t>
      </w:r>
      <w:r>
        <w:rPr>
          <w:rFonts w:ascii="Malgun Gothic" w:cs="Malgun Gothic" w:eastAsia="Malgun Gothic" w:hAnsi="Malgun Gothic"/>
          <w:sz w:val="22"/>
          <w:szCs w:val="22"/>
        </w:rPr>
        <w:t xml:space="preserve"> 안전 사고가 늘어나는 가운데 2026년부터 본격적인 규제 준수가 시작되었다.</w:t>
      </w:r>
    </w:p>
    <w:p>
      <w:pPr>
        <w:pStyle w:val="Heading2"/>
      </w:pPr>
      <w:bookmarkStart w:name="_Toc15" w:id="15"/>
      <w:r>
        <w:t xml:space="preserve">2. 시사점 및 제언</w:t>
      </w:r>
      <w:bookmarkEnd w:id="15"/>
    </w:p>
    <w:p>
      <w:pPr>
        <w:spacing w:after="160" w:line="360"/>
        <w:jc w:val="both"/>
      </w:pPr>
      <w:r>
        <w:rPr>
          <w:rFonts w:ascii="Malgun Gothic" w:cs="Malgun Gothic" w:eastAsia="Malgun Gothic" w:hAnsi="Malgun Gothic"/>
          <w:sz w:val="22"/>
          <w:szCs w:val="22"/>
        </w:rPr>
        <w:t xml:space="preserve">AI 발전은 되돌릴 수 없는 흐름이며, 관건은 그 혜택을 넓히고 위험을 줄이는 방향으로 이끄는 것이다. 이를 위해 다음과 같은 대응이 필요하다.</w:t>
      </w:r>
    </w:p>
    <w:p>
      <w:pPr>
        <w:pStyle w:val="ListParagraph"/>
        <w:numPr>
          <w:ilvl w:val="0"/>
          <w:numId w:val="2"/>
        </w:numPr>
        <w:spacing w:after="80" w:line="340"/>
      </w:pPr>
      <w:r>
        <w:rPr>
          <w:rFonts w:ascii="Malgun Gothic" w:cs="Malgun Gothic" w:eastAsia="Malgun Gothic" w:hAnsi="Malgun Gothic"/>
          <w:b/>
          <w:bCs/>
          <w:sz w:val="22"/>
          <w:szCs w:val="22"/>
        </w:rPr>
        <w:t xml:space="preserve">기업:</w:t>
      </w:r>
      <w:r>
        <w:rPr>
          <w:rFonts w:ascii="Malgun Gothic" w:cs="Malgun Gothic" w:eastAsia="Malgun Gothic" w:hAnsi="Malgun Gothic"/>
          <w:sz w:val="22"/>
          <w:szCs w:val="22"/>
        </w:rPr>
        <w:t xml:space="preserve"> AI의 "들쭉날쭉한" 성능을 고려하여, 도입 전 업무 영역별로 성능과 위험을 검증하고 사람의 감독 체계를 설계해야 한다.</w:t>
      </w:r>
    </w:p>
    <w:p>
      <w:pPr>
        <w:pStyle w:val="ListParagraph"/>
        <w:numPr>
          <w:ilvl w:val="0"/>
          <w:numId w:val="2"/>
        </w:numPr>
        <w:spacing w:after="80" w:line="340"/>
      </w:pPr>
      <w:r>
        <w:rPr>
          <w:rFonts w:ascii="Malgun Gothic" w:cs="Malgun Gothic" w:eastAsia="Malgun Gothic" w:hAnsi="Malgun Gothic"/>
          <w:b/>
          <w:bCs/>
          <w:sz w:val="22"/>
          <w:szCs w:val="22"/>
        </w:rPr>
        <w:t xml:space="preserve">정부:</w:t>
      </w:r>
      <w:r>
        <w:rPr>
          <w:rFonts w:ascii="Malgun Gothic" w:cs="Malgun Gothic" w:eastAsia="Malgun Gothic" w:hAnsi="Malgun Gothic"/>
          <w:sz w:val="22"/>
          <w:szCs w:val="22"/>
        </w:rPr>
        <w:t xml:space="preserve"> 일자리 대체 우려에 대응하여 재교육과 직무 전환 지원을 확대하고, AI 기본법의 하위 규정을 혁신과 안전의 균형 속에서 정비해야 한다. 아울러 전력 인프라와 친환경 에너지 확보를 AI 정책과 연계해야 한다.</w:t>
      </w:r>
    </w:p>
    <w:p>
      <w:pPr>
        <w:pStyle w:val="ListParagraph"/>
        <w:numPr>
          <w:ilvl w:val="0"/>
          <w:numId w:val="2"/>
        </w:numPr>
        <w:spacing w:after="80" w:line="340"/>
      </w:pPr>
      <w:r>
        <w:rPr>
          <w:rFonts w:ascii="Malgun Gothic" w:cs="Malgun Gothic" w:eastAsia="Malgun Gothic" w:hAnsi="Malgun Gothic"/>
          <w:b/>
          <w:bCs/>
          <w:sz w:val="22"/>
          <w:szCs w:val="22"/>
        </w:rPr>
        <w:t xml:space="preserve">개인:</w:t>
      </w:r>
      <w:r>
        <w:rPr>
          <w:rFonts w:ascii="Malgun Gothic" w:cs="Malgun Gothic" w:eastAsia="Malgun Gothic" w:hAnsi="Malgun Gothic"/>
          <w:sz w:val="22"/>
          <w:szCs w:val="22"/>
        </w:rPr>
        <w:t xml:space="preserve"> AI를 경쟁 상대가 아닌 협업 도구로 활용하는 역량을 기르고, AI의 결과를 비판적으로 검토하는 능력을 갖추어야 한다.</w:t>
      </w:r>
    </w:p>
    <w:p>
      <w:pPr>
        <w:spacing w:after="160" w:line="360"/>
        <w:jc w:val="both"/>
      </w:pPr>
      <w:r>
        <w:rPr>
          <w:rFonts w:ascii="Malgun Gothic" w:cs="Malgun Gothic" w:eastAsia="Malgun Gothic" w:hAnsi="Malgun Gothic"/>
          <w:sz w:val="22"/>
          <w:szCs w:val="22"/>
        </w:rPr>
        <w:t xml:space="preserve">AI는 이미 사회의 기반 기술이 되었다. 기술의 속도에 걸맞은 제도와 역량을 함께 갖추는 것이 앞으로의 AI 시대를 준비하는 핵심 과제이다.</w:t>
      </w:r>
    </w:p>
    <w:p>
      <w:pPr>
        <w:pStyle w:val="Heading2"/>
      </w:pPr>
      <w:bookmarkStart w:name="_Toc16" w:id="16"/>
      <w:r>
        <w:t xml:space="preserve">참고 자료</w:t>
      </w:r>
      <w:bookmarkEnd w:id="16"/>
    </w:p>
    <w:p>
      <w:pPr>
        <w:pStyle w:val="ListParagraph"/>
        <w:numPr>
          <w:ilvl w:val="0"/>
          <w:numId w:val="4"/>
        </w:numPr>
        <w:spacing w:after="60"/>
      </w:pPr>
      <w:r>
        <w:rPr>
          <w:rFonts w:ascii="Malgun Gothic" w:cs="Malgun Gothic" w:eastAsia="Malgun Gothic" w:hAnsi="Malgun Gothic"/>
          <w:sz w:val="20"/>
          <w:szCs w:val="20"/>
        </w:rPr>
        <w:t xml:space="preserve">Stanford HAI, AI Index Report 2026</w:t>
      </w:r>
    </w:p>
    <w:p>
      <w:pPr>
        <w:pStyle w:val="ListParagraph"/>
        <w:numPr>
          <w:ilvl w:val="0"/>
          <w:numId w:val="4"/>
        </w:numPr>
        <w:spacing w:after="60"/>
      </w:pPr>
      <w:r>
        <w:rPr>
          <w:rFonts w:ascii="Malgun Gothic" w:cs="Malgun Gothic" w:eastAsia="Malgun Gothic" w:hAnsi="Malgun Gothic"/>
          <w:sz w:val="20"/>
          <w:szCs w:val="20"/>
        </w:rPr>
        <w:t xml:space="preserve">Gartner, 2026 데이터센터 전력 수요 전망 (2026.6)</w:t>
      </w:r>
    </w:p>
    <w:p>
      <w:pPr>
        <w:pStyle w:val="ListParagraph"/>
        <w:numPr>
          <w:ilvl w:val="0"/>
          <w:numId w:val="4"/>
        </w:numPr>
        <w:spacing w:after="60"/>
      </w:pPr>
      <w:r>
        <w:rPr>
          <w:rFonts w:ascii="Malgun Gothic" w:cs="Malgun Gothic" w:eastAsia="Malgun Gothic" w:hAnsi="Malgun Gothic"/>
          <w:sz w:val="20"/>
          <w:szCs w:val="20"/>
        </w:rPr>
        <w:t xml:space="preserve">IEA, 데이터센터 전력 수요 분석</w:t>
      </w:r>
    </w:p>
    <w:p>
      <w:pPr>
        <w:pStyle w:val="ListParagraph"/>
        <w:numPr>
          <w:ilvl w:val="0"/>
          <w:numId w:val="4"/>
        </w:numPr>
        <w:spacing w:after="60"/>
      </w:pPr>
      <w:r>
        <w:rPr>
          <w:rFonts w:ascii="Malgun Gothic" w:cs="Malgun Gothic" w:eastAsia="Malgun Gothic" w:hAnsi="Malgun Gothic"/>
          <w:sz w:val="20"/>
          <w:szCs w:val="20"/>
        </w:rPr>
        <w:t xml:space="preserve">Gallup, 미국 근로자 AI 인식 조사 (2026.2)</w:t>
      </w:r>
    </w:p>
    <w:p>
      <w:pPr>
        <w:pStyle w:val="ListParagraph"/>
        <w:numPr>
          <w:ilvl w:val="0"/>
          <w:numId w:val="4"/>
        </w:numPr>
        <w:spacing w:after="60"/>
      </w:pPr>
      <w:r>
        <w:rPr>
          <w:rFonts w:ascii="Malgun Gothic" w:cs="Malgun Gothic" w:eastAsia="Malgun Gothic" w:hAnsi="Malgun Gothic"/>
          <w:sz w:val="20"/>
          <w:szCs w:val="20"/>
        </w:rPr>
        <w:t xml:space="preserve">S&amp;P Global, The AI and Labor Landscape 2026</w:t>
      </w:r>
    </w:p>
    <w:p>
      <w:pPr>
        <w:pStyle w:val="ListParagraph"/>
        <w:numPr>
          <w:ilvl w:val="0"/>
          <w:numId w:val="4"/>
        </w:numPr>
        <w:spacing w:after="60"/>
      </w:pPr>
      <w:r>
        <w:rPr>
          <w:rFonts w:ascii="Malgun Gothic" w:cs="Malgun Gothic" w:eastAsia="Malgun Gothic" w:hAnsi="Malgun Gothic"/>
          <w:sz w:val="20"/>
          <w:szCs w:val="20"/>
        </w:rPr>
        <w:t xml:space="preserve">World Economic Forum, Future of Jobs</w:t>
      </w:r>
    </w:p>
    <w:p>
      <w:pPr>
        <w:pStyle w:val="ListParagraph"/>
        <w:numPr>
          <w:ilvl w:val="0"/>
          <w:numId w:val="4"/>
        </w:numPr>
        <w:spacing w:after="60"/>
      </w:pPr>
      <w:r>
        <w:rPr>
          <w:rFonts w:ascii="Malgun Gothic" w:cs="Malgun Gothic" w:eastAsia="Malgun Gothic" w:hAnsi="Malgun Gothic"/>
          <w:sz w:val="20"/>
          <w:szCs w:val="20"/>
        </w:rPr>
        <w:t xml:space="preserve">U.S. FDA, AI-Enabled Medical Devices 목록</w:t>
      </w:r>
    </w:p>
    <w:p>
      <w:pPr>
        <w:pStyle w:val="ListParagraph"/>
        <w:numPr>
          <w:ilvl w:val="0"/>
          <w:numId w:val="4"/>
        </w:numPr>
        <w:spacing w:after="60"/>
      </w:pPr>
      <w:r>
        <w:rPr>
          <w:rFonts w:ascii="Malgun Gothic" w:cs="Malgun Gothic" w:eastAsia="Malgun Gothic" w:hAnsi="Malgun Gothic"/>
          <w:sz w:val="20"/>
          <w:szCs w:val="20"/>
        </w:rPr>
        <w:t xml:space="preserve">Cooley, South Korea's AI Basic Act Overview (2026.1)</w:t>
      </w:r>
    </w:p>
    <w:p>
      <w:pPr>
        <w:pStyle w:val="ListParagraph"/>
        <w:numPr>
          <w:ilvl w:val="0"/>
          <w:numId w:val="4"/>
        </w:numPr>
        <w:spacing w:after="60"/>
      </w:pPr>
      <w:r>
        <w:rPr>
          <w:rFonts w:ascii="Malgun Gothic" w:cs="Malgun Gothic" w:eastAsia="Malgun Gothic" w:hAnsi="Malgun Gothic"/>
          <w:sz w:val="20"/>
          <w:szCs w:val="20"/>
        </w:rPr>
        <w:t xml:space="preserve">NVIDIA 보도자료, 한국 AI 인프라 구축 (2025)</w:t>
      </w:r>
    </w:p>
    <w:p>
      <w:pPr>
        <w:pStyle w:val="ListParagraph"/>
        <w:numPr>
          <w:ilvl w:val="0"/>
          <w:numId w:val="4"/>
        </w:numPr>
        <w:spacing w:after="60"/>
      </w:pPr>
      <w:r>
        <w:rPr>
          <w:rFonts w:ascii="Malgun Gothic" w:cs="Malgun Gothic" w:eastAsia="Malgun Gothic" w:hAnsi="Malgun Gothic"/>
          <w:sz w:val="20"/>
          <w:szCs w:val="20"/>
        </w:rPr>
        <w:t xml:space="preserve">기타 세부 출처: research/ai-development-research.md 참조</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5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jc w:val="center"/>
    </w:pPr>
    <w:rPr>
      <w:rFonts w:ascii="Malgun Gothic" w:cs="Malgun Gothic" w:eastAsia="Malgun Gothic" w:hAnsi="Malgun Gothic"/>
      <w:b/>
      <w:bCs/>
      <w:color w:val="1F4E79"/>
      <w:sz w:val="48"/>
      <w:szCs w:val="48"/>
    </w:rPr>
  </w:style>
  <w:style w:type="paragraph" w:styleId="Heading1">
    <w:name w:val="Heading 1"/>
    <w:basedOn w:val="Normal"/>
    <w:next w:val="Normal"/>
    <w:qFormat/>
    <w:pPr>
      <w:pBdr>
        <w:bottom w:val="single" w:color="1F4E79" w:sz="8" w:space="4"/>
      </w:pBdr>
      <w:spacing w:after="200" w:before="360"/>
      <w:outlineLvl w:val="0"/>
    </w:pPr>
    <w:rPr>
      <w:rFonts w:ascii="Malgun Gothic" w:cs="Malgun Gothic" w:eastAsia="Malgun Gothic" w:hAnsi="Malgun Gothic"/>
      <w:b/>
      <w:bCs/>
      <w:color w:val="1F4E79"/>
      <w:sz w:val="32"/>
      <w:szCs w:val="32"/>
    </w:rPr>
  </w:style>
  <w:style w:type="paragraph" w:styleId="Heading2">
    <w:name w:val="Heading 2"/>
    <w:basedOn w:val="Normal"/>
    <w:next w:val="Normal"/>
    <w:qFormat/>
    <w:pPr>
      <w:spacing w:after="120" w:before="240"/>
      <w:outlineLvl w:val="1"/>
    </w:pPr>
    <w:rPr>
      <w:rFonts w:ascii="Malgun Gothic" w:cs="Malgun Gothic" w:eastAsia="Malgun Gothic" w:hAnsi="Malgun Gothic"/>
      <w:b/>
      <w:bCs/>
      <w:color w:val="2E2E2E"/>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2026-10-07T13:49:45.614Z</dcterms:created>
  <dcterms:modified xsi:type="dcterms:W3CDTF">2026-10-07T13:49:45.616Z</dcterms:modified>
</cp:coreProperties>
</file>

<file path=docProps/custom.xml><?xml version="1.0" encoding="utf-8"?>
<Properties xmlns="http://schemas.openxmlformats.org/officeDocument/2006/custom-properties" xmlns:vt="http://schemas.openxmlformats.org/officeDocument/2006/docPropsVTypes"/>
</file>