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609FF3">
      <w:pPr>
        <w:ind w:left="0" w:leftChars="0" w:firstLine="0" w:firstLineChars="0"/>
        <w:jc w:val="center"/>
        <w:rPr>
          <w:rFonts w:ascii="方正小标宋_GBK" w:eastAsia="方正小标宋_GBK"/>
          <w:b/>
          <w:sz w:val="48"/>
          <w:szCs w:val="48"/>
        </w:rPr>
      </w:pPr>
      <w:r>
        <w:rPr>
          <w:rFonts w:hint="eastAsia" w:ascii="方正小标宋_GBK" w:eastAsia="方正小标宋_GBK"/>
          <w:b/>
          <w:sz w:val="48"/>
          <w:szCs w:val="48"/>
        </w:rPr>
        <w:t>国家卓越工程师学院明月科创实验班</w:t>
      </w:r>
    </w:p>
    <w:p w14:paraId="54EC106C">
      <w:pPr>
        <w:jc w:val="center"/>
        <w:rPr>
          <w:rFonts w:hint="default" w:eastAsia="黑体"/>
          <w:sz w:val="32"/>
          <w:szCs w:val="32"/>
          <w:lang w:val="en-US" w:eastAsia="zh-CN"/>
        </w:rPr>
      </w:pPr>
      <w:r>
        <w:rPr>
          <w:rFonts w:hint="eastAsia" w:ascii="方正小标宋_GBK" w:eastAsia="方正小标宋_GBK"/>
          <w:b/>
          <w:sz w:val="32"/>
          <w:szCs w:val="32"/>
          <w:lang w:eastAsia="zh-CN"/>
        </w:rPr>
        <w:t>《</w:t>
      </w:r>
      <w:r>
        <w:rPr>
          <w:rFonts w:hint="eastAsia" w:ascii="方正小标宋_GBK" w:eastAsia="方正小标宋_GBK"/>
          <w:b/>
          <w:sz w:val="32"/>
          <w:szCs w:val="32"/>
          <w:lang w:val="en-US" w:eastAsia="zh-CN"/>
        </w:rPr>
        <w:t>概率论与数理统计</w:t>
      </w:r>
      <w:r>
        <w:rPr>
          <w:rFonts w:hint="eastAsia" w:ascii="方正小标宋_GBK" w:eastAsia="方正小标宋_GBK"/>
          <w:b/>
          <w:sz w:val="32"/>
          <w:szCs w:val="32"/>
          <w:lang w:eastAsia="zh-CN"/>
        </w:rPr>
        <w:t>》</w:t>
      </w:r>
      <w:r>
        <w:rPr>
          <w:rFonts w:hint="eastAsia" w:ascii="方正小标宋_GBK" w:eastAsia="方正小标宋_GBK"/>
          <w:b/>
          <w:sz w:val="32"/>
          <w:szCs w:val="32"/>
          <w:lang w:val="en-US" w:eastAsia="zh-CN"/>
        </w:rPr>
        <w:t>课程项目1</w:t>
      </w:r>
    </w:p>
    <w:p w14:paraId="4F1A8B89">
      <w:pPr>
        <w:jc w:val="center"/>
        <w:rPr>
          <w:rFonts w:eastAsia="楷体_GB2312"/>
          <w:sz w:val="28"/>
        </w:rPr>
      </w:pPr>
      <w:bookmarkStart w:id="15" w:name="_GoBack"/>
      <w:bookmarkEnd w:id="15"/>
    </w:p>
    <w:p w14:paraId="5414ED20">
      <w:pPr>
        <w:jc w:val="center"/>
      </w:pPr>
    </w:p>
    <w:p w14:paraId="1CB291DD">
      <w:pPr>
        <w:jc w:val="center"/>
      </w:pPr>
      <w:r>
        <w:drawing>
          <wp:inline distT="0" distB="0" distL="0" distR="0">
            <wp:extent cx="1356360" cy="13379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807" cy="13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4CE7">
      <w:pPr>
        <w:ind w:right="17" w:firstLine="2520"/>
        <w:rPr>
          <w:rFonts w:eastAsia="黑体"/>
          <w:sz w:val="32"/>
        </w:rPr>
      </w:pPr>
    </w:p>
    <w:p w14:paraId="2DC6802C">
      <w:pPr>
        <w:ind w:right="17" w:firstLine="2160"/>
        <w:rPr>
          <w:rFonts w:eastAsia="黑体"/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341630</wp:posOffset>
                </wp:positionV>
                <wp:extent cx="1616075" cy="2242185"/>
                <wp:effectExtent l="0" t="0" r="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7125" y="4824095"/>
                          <a:ext cx="1616075" cy="2242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6.75pt;margin-top:26.9pt;height:176.55pt;width:127.25pt;z-index:251659264;v-text-anchor:middle;mso-width-relative:page;mso-height-relative:page;" fillcolor="#FFFFFF [3212]" filled="t" stroked="f" coordsize="21600,21600" o:gfxdata="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GsO+X2QAAAAoBAAAPAAAAAAAAAAEAIAAAACIAAABk&#10;cnMvZG93bnJldi54bWxQSwECFAAUAAAACACHTuJAfqSf5XcCAADYBAAADgAAAAAAAAABACAAAAAo&#10;AQAAZHJzL2Uyb0RvYy54bWxQSwUGAAAAAAYABgBZAQAAE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6562519">
      <w:pPr>
        <w:ind w:left="1850" w:leftChars="771" w:firstLine="321" w:firstLineChars="100"/>
        <w:rPr>
          <w:rFonts w:hint="default" w:ascii="仿宋_GB2312" w:eastAsia="仿宋_GB2312"/>
          <w:b/>
          <w:sz w:val="32"/>
          <w:szCs w:val="32"/>
          <w:u w:val="single"/>
          <w:lang w:val="en-US" w:eastAsia="zh-CN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姓 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</w:rPr>
        <w:t>名：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eastAsia="zh-CN"/>
        </w:rPr>
        <w:t>王子诺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 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</w:t>
      </w:r>
    </w:p>
    <w:p w14:paraId="0DA2D6BA">
      <w:pPr>
        <w:ind w:left="1850" w:leftChars="771" w:firstLine="321" w:firstLineChars="100"/>
        <w:rPr>
          <w:rFonts w:hint="default" w:ascii="仿宋_GB2312" w:eastAsia="仿宋_GB2312"/>
          <w:b/>
          <w:sz w:val="32"/>
          <w:szCs w:val="32"/>
          <w:u w:val="single"/>
          <w:lang w:val="en-US" w:eastAsia="zh-CN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学 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</w:rPr>
        <w:t>号：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eastAsia="zh-CN"/>
        </w:rPr>
        <w:t xml:space="preserve">20235459  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  </w:t>
      </w:r>
    </w:p>
    <w:p w14:paraId="490A0175">
      <w:pPr>
        <w:tabs>
          <w:tab w:val="left" w:pos="7380"/>
          <w:tab w:val="left" w:pos="7740"/>
        </w:tabs>
        <w:ind w:left="1850" w:leftChars="771" w:firstLine="321" w:firstLineChars="100"/>
        <w:rPr>
          <w:rFonts w:ascii="仿宋_GB2312" w:eastAsia="仿宋_GB2312"/>
          <w:b/>
          <w:sz w:val="32"/>
          <w:szCs w:val="32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年 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</w:rPr>
        <w:t>级</w:t>
      </w:r>
      <w:r>
        <w:rPr>
          <w:rFonts w:hint="eastAsia" w:ascii="仿宋_GB2312" w:eastAsia="仿宋_GB2312"/>
          <w:b/>
          <w:sz w:val="36"/>
          <w:szCs w:val="36"/>
        </w:rPr>
        <w:t>：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eastAsia="zh-CN"/>
        </w:rPr>
        <w:t>2023级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 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</w:p>
    <w:p w14:paraId="4FA43FB5">
      <w:pPr>
        <w:ind w:left="1850" w:leftChars="771" w:firstLine="321" w:firstLineChars="100"/>
        <w:rPr>
          <w:rFonts w:hint="default" w:ascii="仿宋_GB2312" w:eastAsia="仿宋_GB2312"/>
          <w:b/>
          <w:sz w:val="32"/>
          <w:szCs w:val="32"/>
          <w:u w:val="single"/>
          <w:lang w:val="en-US" w:eastAsia="zh-CN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班 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</w:rPr>
        <w:t>级：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eastAsia="zh-CN"/>
        </w:rPr>
        <w:t>1班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     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</w:t>
      </w:r>
    </w:p>
    <w:p w14:paraId="6EE4C245">
      <w:pPr>
        <w:ind w:left="1850" w:leftChars="771" w:firstLine="321" w:firstLineChars="100"/>
        <w:rPr>
          <w:rFonts w:hint="default" w:ascii="仿宋_GB2312" w:eastAsia="仿宋_GB2312"/>
          <w:b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日 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</w:rPr>
        <w:t>期：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eastAsia="zh-CN"/>
        </w:rPr>
        <w:t>2025年6月25日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</w:t>
      </w:r>
    </w:p>
    <w:p w14:paraId="4055484A">
      <w:pPr>
        <w:rPr>
          <w:rFonts w:eastAsia="黑体"/>
          <w:sz w:val="32"/>
        </w:rPr>
      </w:pPr>
    </w:p>
    <w:p w14:paraId="53377329">
      <w:pPr>
        <w:rPr>
          <w:rFonts w:eastAsia="黑体"/>
          <w:sz w:val="32"/>
        </w:rPr>
      </w:pPr>
    </w:p>
    <w:p w14:paraId="4126534B">
      <w:pPr>
        <w:rPr>
          <w:rFonts w:eastAsia="黑体"/>
          <w:sz w:val="32"/>
        </w:rPr>
      </w:pPr>
    </w:p>
    <w:p w14:paraId="56C601BB">
      <w:pPr>
        <w:rPr>
          <w:rFonts w:eastAsia="黑体"/>
          <w:sz w:val="32"/>
        </w:rPr>
      </w:pPr>
    </w:p>
    <w:p w14:paraId="71877994">
      <w:pPr>
        <w:rPr>
          <w:rFonts w:eastAsia="黑体"/>
          <w:sz w:val="32"/>
        </w:rPr>
      </w:pPr>
    </w:p>
    <w:p w14:paraId="5809F0D6">
      <w:pPr>
        <w:rPr>
          <w:rFonts w:eastAsia="黑体"/>
          <w:sz w:val="32"/>
        </w:rPr>
      </w:pPr>
    </w:p>
    <w:p w14:paraId="1B5DC76D">
      <w:pPr>
        <w:ind w:left="0" w:leftChars="0" w:firstLine="0" w:firstLineChars="0"/>
        <w:jc w:val="center"/>
        <w:rPr>
          <w:rFonts w:ascii="仿宋_GB2312" w:eastAsia="仿宋_GB2312"/>
          <w:sz w:val="32"/>
          <w:szCs w:val="32"/>
        </w:rPr>
      </w:pPr>
      <w:r>
        <w:rPr>
          <w:rFonts w:hint="eastAsia" w:ascii="仿宋_GB2312" w:eastAsia="仿宋_GB2312"/>
          <w:sz w:val="32"/>
          <w:szCs w:val="32"/>
        </w:rPr>
        <w:t>重庆大学国家卓越工程师学院2</w:t>
      </w:r>
      <w:r>
        <w:rPr>
          <w:rFonts w:ascii="仿宋_GB2312" w:eastAsia="仿宋_GB2312"/>
          <w:sz w:val="32"/>
          <w:szCs w:val="32"/>
        </w:rPr>
        <w:t>024</w:t>
      </w:r>
      <w:r>
        <w:rPr>
          <w:rFonts w:hint="eastAsia" w:ascii="仿宋_GB2312" w:eastAsia="仿宋_GB2312"/>
          <w:sz w:val="32"/>
          <w:szCs w:val="32"/>
        </w:rPr>
        <w:t>年制</w:t>
      </w:r>
    </w:p>
    <w:p w14:paraId="5CAF2A75">
      <w:pPr>
        <w:widowControl/>
        <w:jc w:val="left"/>
        <w:rPr>
          <w:rFonts w:ascii="仿宋_GB2312" w:eastAsia="仿宋_GB2312"/>
          <w:sz w:val="32"/>
          <w:szCs w:val="32"/>
        </w:rPr>
      </w:pPr>
    </w:p>
    <w:p w14:paraId="31928BEC">
      <w:pPr>
        <w:widowControl/>
        <w:jc w:val="left"/>
        <w:rPr>
          <w:rFonts w:ascii="仿宋_GB2312" w:eastAsia="仿宋_GB2312"/>
          <w:sz w:val="32"/>
          <w:szCs w:val="32"/>
        </w:rPr>
      </w:pPr>
    </w:p>
    <w:p w14:paraId="07AA6417">
      <w:pPr>
        <w:widowControl/>
        <w:jc w:val="left"/>
        <w:rPr>
          <w:rFonts w:ascii="仿宋_GB2312" w:eastAsia="仿宋_GB2312"/>
          <w:sz w:val="32"/>
          <w:szCs w:val="32"/>
        </w:rPr>
      </w:pPr>
    </w:p>
    <w:p w14:paraId="44B5BF98">
      <w:pPr>
        <w:widowControl/>
        <w:jc w:val="left"/>
        <w:rPr>
          <w:rFonts w:ascii="仿宋_GB2312" w:eastAsia="仿宋_GB2312"/>
          <w:sz w:val="32"/>
          <w:szCs w:val="32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0035"/>
        <w15:color w:val="DBDBDB"/>
        <w:docPartObj>
          <w:docPartGallery w:val="Table of Contents"/>
          <w:docPartUnique/>
        </w:docPartObj>
      </w:sdtPr>
      <w:sdtEndPr>
        <w:rPr>
          <w:rFonts w:ascii="仿宋_GB2312" w:hAnsi="Times New Roman" w:eastAsia="仿宋_GB2312" w:cstheme="minorBidi"/>
          <w:kern w:val="2"/>
          <w:sz w:val="24"/>
          <w:szCs w:val="32"/>
          <w:lang w:val="en-US" w:eastAsia="zh-CN" w:bidi="ar-SA"/>
        </w:rPr>
      </w:sdtEndPr>
      <w:sdtContent>
        <w:p w14:paraId="1F064386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48B55E87">
          <w:pPr>
            <w:pStyle w:val="10"/>
            <w:tabs>
              <w:tab w:val="right" w:leader="dot" w:pos="8306"/>
            </w:tabs>
          </w:pPr>
          <w:r>
            <w:rPr>
              <w:rFonts w:ascii="仿宋_GB2312" w:eastAsia="仿宋_GB2312"/>
              <w:sz w:val="32"/>
              <w:szCs w:val="32"/>
            </w:rPr>
            <w:fldChar w:fldCharType="begin"/>
          </w:r>
          <w:r>
            <w:rPr>
              <w:rFonts w:ascii="仿宋_GB2312" w:eastAsia="仿宋_GB2312"/>
              <w:sz w:val="32"/>
              <w:szCs w:val="32"/>
            </w:rPr>
            <w:instrText xml:space="preserve">TOC \o "1-3" \h \u </w:instrText>
          </w:r>
          <w:r>
            <w:rPr>
              <w:rFonts w:ascii="仿宋_GB2312" w:eastAsia="仿宋_GB2312"/>
              <w:sz w:val="32"/>
              <w:szCs w:val="32"/>
            </w:rPr>
            <w:fldChar w:fldCharType="separate"/>
          </w: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_Toc27541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eastAsia="zh-CN"/>
            </w:rPr>
            <w:t>概率论与数理统计项目二报告</w:t>
          </w:r>
          <w:r>
            <w:tab/>
          </w:r>
          <w:r>
            <w:fldChar w:fldCharType="begin"/>
          </w:r>
          <w:r>
            <w:instrText xml:space="preserve"> PAGEREF _Toc27541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0D28E5C6">
          <w:pPr>
            <w:pStyle w:val="11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_Toc31167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eastAsia="zh-CN"/>
            </w:rPr>
            <w:t>一、 项目分析</w:t>
          </w:r>
          <w:r>
            <w:tab/>
          </w:r>
          <w:r>
            <w:fldChar w:fldCharType="begin"/>
          </w:r>
          <w:r>
            <w:instrText xml:space="preserve"> PAGEREF _Toc31167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7AF310F5">
          <w:pPr>
            <w:pStyle w:val="11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_Toc22307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eastAsia="zh-CN"/>
            </w:rPr>
            <w:t>二、 数据寻找和预处理</w:t>
          </w:r>
          <w:r>
            <w:tab/>
          </w:r>
          <w:r>
            <w:fldChar w:fldCharType="begin"/>
          </w:r>
          <w:r>
            <w:instrText xml:space="preserve"> PAGEREF _Toc22307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5E3C2A08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_Toc26174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2.1 数据库来源</w:t>
          </w:r>
          <w:r>
            <w:tab/>
          </w:r>
          <w:r>
            <w:fldChar w:fldCharType="begin"/>
          </w:r>
          <w:r>
            <w:instrText xml:space="preserve"> PAGEREF _Toc26174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0625A574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_Toc17993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2.2 数据库预处理</w:t>
          </w:r>
          <w:r>
            <w:tab/>
          </w:r>
          <w:r>
            <w:fldChar w:fldCharType="begin"/>
          </w:r>
          <w:r>
            <w:instrText xml:space="preserve"> PAGEREF _Toc17993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088A618F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_Toc13446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2.3 数据预分类</w:t>
          </w:r>
          <w:r>
            <w:tab/>
          </w:r>
          <w:r>
            <w:fldChar w:fldCharType="begin"/>
          </w:r>
          <w:r>
            <w:instrText xml:space="preserve"> PAGEREF _Toc13446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67E7A809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_Toc23392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2.4 开源数据链接</w:t>
          </w:r>
          <w:r>
            <w:tab/>
          </w:r>
          <w:r>
            <w:fldChar w:fldCharType="begin"/>
          </w:r>
          <w:r>
            <w:instrText xml:space="preserve"> PAGEREF _Toc23392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243ECB72">
          <w:pPr>
            <w:pStyle w:val="11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_Toc31758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eastAsia="zh-CN"/>
            </w:rPr>
            <w:t>三、 代码实现</w:t>
          </w:r>
          <w:r>
            <w:tab/>
          </w:r>
          <w:r>
            <w:fldChar w:fldCharType="begin"/>
          </w:r>
          <w:r>
            <w:instrText xml:space="preserve"> PAGEREF _Toc31758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5E5CB40C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_Toc23684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3.1 Logistic Regression方法实现</w:t>
          </w:r>
          <w:r>
            <w:tab/>
          </w:r>
          <w:r>
            <w:fldChar w:fldCharType="begin"/>
          </w:r>
          <w:r>
            <w:instrText xml:space="preserve"> PAGEREF _Toc23684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31519D4E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_Toc11540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3.2 硬间隔SVM方法实现</w:t>
          </w:r>
          <w:r>
            <w:tab/>
          </w:r>
          <w:r>
            <w:fldChar w:fldCharType="begin"/>
          </w:r>
          <w:r>
            <w:instrText xml:space="preserve"> PAGEREF _Toc11540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47384F7F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_Toc31039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3.3 非线性软间隔SVM（基于RBF，来源论文二）</w:t>
          </w:r>
          <w:r>
            <w:tab/>
          </w:r>
          <w:r>
            <w:fldChar w:fldCharType="begin"/>
          </w:r>
          <w:r>
            <w:instrText xml:space="preserve"> PAGEREF _Toc31039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019DF3BC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_Toc24600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3.4 线性软间隔SVM（基于liblinear，来源论文二中的SGD）</w:t>
          </w:r>
          <w:r>
            <w:tab/>
          </w:r>
          <w:r>
            <w:fldChar w:fldCharType="begin"/>
          </w:r>
          <w:r>
            <w:instrText xml:space="preserve"> PAGEREF _Toc24600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06CB9475">
          <w:pPr>
            <w:pStyle w:val="11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_Toc31405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eastAsia="zh-CN"/>
            </w:rPr>
            <w:t>四、 文献阅读</w:t>
          </w:r>
          <w:r>
            <w:tab/>
          </w:r>
          <w:r>
            <w:fldChar w:fldCharType="begin"/>
          </w:r>
          <w:r>
            <w:instrText xml:space="preserve"> PAGEREF _Toc31405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27B4F03D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_Toc27134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4.1 论文一</w:t>
          </w:r>
          <w:r>
            <w:tab/>
          </w:r>
          <w:r>
            <w:fldChar w:fldCharType="begin"/>
          </w:r>
          <w:r>
            <w:instrText xml:space="preserve"> PAGEREF _Toc27134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464375C5">
          <w:pPr>
            <w:pStyle w:val="7"/>
            <w:tabs>
              <w:tab w:val="right" w:leader="dot" w:pos="8306"/>
            </w:tabs>
          </w:pPr>
          <w:r>
            <w:rPr>
              <w:rFonts w:ascii="仿宋_GB2312" w:eastAsia="仿宋_GB2312"/>
              <w:szCs w:val="32"/>
            </w:rPr>
            <w:fldChar w:fldCharType="begin"/>
          </w:r>
          <w:r>
            <w:rPr>
              <w:rFonts w:ascii="仿宋_GB2312" w:eastAsia="仿宋_GB2312"/>
              <w:szCs w:val="32"/>
            </w:rPr>
            <w:instrText xml:space="preserve"> HYPERLINK \l _Toc6543 </w:instrText>
          </w:r>
          <w:r>
            <w:rPr>
              <w:rFonts w:ascii="仿宋_GB2312" w:eastAsia="仿宋_GB2312"/>
              <w:szCs w:val="32"/>
            </w:rPr>
            <w:fldChar w:fldCharType="separate"/>
          </w:r>
          <w:r>
            <w:rPr>
              <w:rFonts w:hint="eastAsia"/>
              <w:lang w:val="en-US" w:eastAsia="zh-CN"/>
            </w:rPr>
            <w:t>4.2 论文二</w:t>
          </w:r>
          <w:r>
            <w:tab/>
          </w:r>
          <w:r>
            <w:fldChar w:fldCharType="begin"/>
          </w:r>
          <w:r>
            <w:instrText xml:space="preserve"> PAGEREF _Toc6543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仿宋_GB2312" w:eastAsia="仿宋_GB2312"/>
              <w:szCs w:val="32"/>
            </w:rPr>
            <w:fldChar w:fldCharType="end"/>
          </w:r>
        </w:p>
        <w:p w14:paraId="3FEBB06B">
          <w:pPr>
            <w:widowControl/>
            <w:jc w:val="left"/>
            <w:rPr>
              <w:rFonts w:ascii="仿宋_GB2312" w:hAnsi="Times New Roman" w:eastAsia="仿宋_GB2312" w:cstheme="minorBidi"/>
              <w:kern w:val="2"/>
              <w:sz w:val="24"/>
              <w:szCs w:val="32"/>
              <w:lang w:val="en-US" w:eastAsia="zh-CN" w:bidi="ar-SA"/>
            </w:rPr>
          </w:pPr>
          <w:r>
            <w:rPr>
              <w:rFonts w:ascii="仿宋_GB2312" w:eastAsia="仿宋_GB2312"/>
              <w:szCs w:val="32"/>
            </w:rPr>
            <w:fldChar w:fldCharType="end"/>
          </w:r>
        </w:p>
      </w:sdtContent>
    </w:sdt>
    <w:p w14:paraId="6C80CC4D">
      <w:pPr>
        <w:widowControl/>
        <w:jc w:val="left"/>
        <w:rPr>
          <w:rFonts w:ascii="仿宋_GB2312" w:hAnsi="Times New Roman" w:eastAsia="仿宋_GB2312" w:cstheme="minorBidi"/>
          <w:kern w:val="2"/>
          <w:sz w:val="24"/>
          <w:szCs w:val="32"/>
          <w:lang w:val="en-US" w:eastAsia="zh-CN" w:bidi="ar-SA"/>
        </w:rPr>
      </w:pPr>
    </w:p>
    <w:p w14:paraId="721D52DF">
      <w:pPr>
        <w:pStyle w:val="2"/>
        <w:bidi w:val="0"/>
        <w:jc w:val="center"/>
        <w:rPr>
          <w:rFonts w:hint="eastAsia"/>
          <w:lang w:eastAsia="zh-CN"/>
        </w:rPr>
      </w:pPr>
      <w:bookmarkStart w:id="0" w:name="_Toc27541"/>
    </w:p>
    <w:p w14:paraId="3CEBF0B4">
      <w:pPr>
        <w:pStyle w:val="2"/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概率论与数理统计项目二报告</w:t>
      </w:r>
      <w:bookmarkEnd w:id="0"/>
    </w:p>
    <w:p w14:paraId="48C93AE6"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bookmarkStart w:id="1" w:name="_Toc31167"/>
      <w:r>
        <w:rPr>
          <w:rFonts w:hint="eastAsia"/>
          <w:lang w:eastAsia="zh-CN"/>
        </w:rPr>
        <w:t>项目分析</w:t>
      </w:r>
      <w:bookmarkEnd w:id="1"/>
    </w:p>
    <w:p w14:paraId="765E019F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本次项目的主要目标是实现一个基于SVM（支持向量机）的分类问题，并将所得结果与Logistic Regression进行详细的数据对比分析。在构建SVM模型的过程中，我们需要分别实现硬间隔SVM和软间隔SVM两种不同的模型。具体来说，硬间隔SVM侧重于寻找一个严格的分类边界，而软间隔SVM则允许一定程度的误分类，以更好地处理实际数据中的噪声和异常点。</w:t>
      </w:r>
    </w:p>
    <w:p w14:paraId="283F5398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在数据准备阶段，我将采取多种途径进行数据收集，既包括从实际应用场景中获取的真实数据，也包括通过特定算法生成的模拟数据。为了确保模型的训练效果和评估准确性，数据集必须明确划分为训练集和测试集（或预测集）。每类样本的数量不得少于250个，这样的样本量不仅能够提供足够的数据支撑，还能确保数据集的高质量，从而为算法性能的提升奠定坚实基础。此外，我们还将按照一定比例将数据集进一步划分为训练集和验证集，以有效提升模型的泛化能力，确保其在未知数据上的表现。</w:t>
      </w:r>
    </w:p>
    <w:p w14:paraId="72861BFF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在数据库建立过程中，对数据指标的选取尤为关键。我们将通过一系列科学的方法对数据指标进行细致的筛选，力求找到相关性最为合适的两个指标，以便更准确地实现分类任务。这一步骤不仅关系到模型的训练效果，更是直接影响最终分类结果的关键环节。</w:t>
      </w:r>
    </w:p>
    <w:p w14:paraId="2077C99A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在实现硬间隔SVM建模时，我们选择使用线性决策边界。然而，这种看似简单直接的方法在实际应用中存在一定的局限性，因为它仅选取部分数据点作为支持向量，可能导致模型对异常点过于敏感，进而影响最终的分类结果。与之相比，Logistic Regression作为一种经典的分类算法，成为了我们自然选择的对比基准，能够更全面地考察线性决策边界的适用性和有效性，为我们提供更为可靠的对比依据。</w:t>
      </w:r>
    </w:p>
    <w:p w14:paraId="69D5F893"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bookmarkStart w:id="2" w:name="_Toc22307"/>
      <w:r>
        <w:rPr>
          <w:rFonts w:hint="eastAsia"/>
          <w:lang w:eastAsia="zh-CN"/>
        </w:rPr>
        <w:t>数据寻找和预处理</w:t>
      </w:r>
      <w:bookmarkEnd w:id="2"/>
    </w:p>
    <w:p w14:paraId="46F49227">
      <w:pPr>
        <w:pStyle w:val="4"/>
        <w:bidi w:val="0"/>
        <w:rPr>
          <w:rFonts w:hint="default"/>
          <w:lang w:val="en-US" w:eastAsia="zh-CN"/>
        </w:rPr>
      </w:pPr>
      <w:bookmarkStart w:id="3" w:name="_Toc26174"/>
      <w:r>
        <w:rPr>
          <w:rFonts w:hint="eastAsia"/>
          <w:lang w:val="en-US" w:eastAsia="zh-CN"/>
        </w:rPr>
        <w:t>2.1 数据库来源</w:t>
      </w:r>
      <w:bookmarkEnd w:id="3"/>
    </w:p>
    <w:p w14:paraId="1893EE4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为了寻找合适的SVM数据库，我在kaggle上找到了一个关于两类葡萄干的数据集raisin</w:t>
      </w:r>
      <w:r>
        <w:rPr>
          <w:rFonts w:hint="default"/>
          <w:lang w:val="en-US" w:eastAsia="zh-CN"/>
        </w:rPr>
        <w:t>_</w:t>
      </w:r>
      <w:r>
        <w:rPr>
          <w:rFonts w:hint="eastAsia"/>
          <w:lang w:eastAsia="zh-CN"/>
        </w:rPr>
        <w:t>dataset，其中有900个关于两种土耳其葡萄干（Kecimen&amp;Besni）的多个特征的数据集，包含了面积、主X轴长度，</w:t>
      </w:r>
      <w:r>
        <w:rPr>
          <w:rFonts w:hint="eastAsia"/>
          <w:lang w:val="en-US" w:eastAsia="zh-CN"/>
        </w:rPr>
        <w:t>交叉面积、</w:t>
      </w:r>
      <w:r>
        <w:rPr>
          <w:rFonts w:hint="eastAsia"/>
          <w:lang w:eastAsia="zh-CN"/>
        </w:rPr>
        <w:t>含量等等信息。</w:t>
      </w:r>
    </w:p>
    <w:p w14:paraId="432E2445">
      <w:pPr>
        <w:jc w:val="center"/>
      </w:pPr>
      <w:r>
        <w:drawing>
          <wp:inline distT="0" distB="0" distL="114300" distR="114300">
            <wp:extent cx="3302000" cy="1578610"/>
            <wp:effectExtent l="0" t="0" r="1270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5A85"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葡萄干数据集）</w:t>
      </w:r>
    </w:p>
    <w:p w14:paraId="05F14A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这个数据集的来源是</w:t>
      </w:r>
      <w:r>
        <w:rPr>
          <w:rFonts w:hint="eastAsia"/>
          <w:lang w:eastAsia="zh-CN"/>
        </w:rPr>
        <w:t>从两个品种中获得了900粒葡萄干</w:t>
      </w:r>
      <w:r>
        <w:rPr>
          <w:rFonts w:hint="eastAsia"/>
          <w:lang w:val="en-US" w:eastAsia="zh-CN"/>
        </w:rPr>
        <w:t>的图像</w:t>
      </w:r>
      <w:r>
        <w:rPr>
          <w:rFonts w:hint="eastAsia"/>
          <w:lang w:eastAsia="zh-CN"/>
        </w:rPr>
        <w:t>。这些图像经过了各种预处理步骤，并使用图像处理技术进行了7次形态特征提取操作。此外，还计算了每个特征的最小值、平均值、最大值和标准偏差统计信息。研究了两种葡萄干品种在特征上的分布，并将这些分布显示在图表上。</w:t>
      </w:r>
    </w:p>
    <w:p w14:paraId="5AD93A96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34360" cy="2051685"/>
            <wp:effectExtent l="0" t="0" r="8890" b="5715"/>
            <wp:docPr id="1" name="图片 1" descr="2025-06-25 14:25:58.17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6-25 14:25:58.175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CB68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（数据集及特征）</w:t>
      </w:r>
    </w:p>
    <w:p w14:paraId="4F81A1AF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而在其中，两种类型的葡萄干数据分别有450张，我对excel的表格中的数据进行了格式统一为int64类型，以方便后续的处理。</w:t>
      </w:r>
    </w:p>
    <w:p w14:paraId="79DB408D">
      <w:pPr>
        <w:jc w:val="center"/>
      </w:pPr>
      <w:r>
        <w:drawing>
          <wp:inline distT="0" distB="0" distL="114300" distR="114300">
            <wp:extent cx="2019935" cy="1266190"/>
            <wp:effectExtent l="0" t="0" r="1841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r="45011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FF8D"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两个类别数据的统计量）</w:t>
      </w:r>
    </w:p>
    <w:p w14:paraId="66B48289">
      <w:pPr>
        <w:pStyle w:val="4"/>
        <w:bidi w:val="0"/>
        <w:rPr>
          <w:rFonts w:hint="eastAsia"/>
          <w:lang w:eastAsia="zh-CN"/>
        </w:rPr>
      </w:pPr>
      <w:bookmarkStart w:id="4" w:name="_Toc17993"/>
      <w:r>
        <w:rPr>
          <w:rFonts w:hint="eastAsia"/>
          <w:lang w:val="en-US" w:eastAsia="zh-CN"/>
        </w:rPr>
        <w:t>2.2 数据库预处理</w:t>
      </w:r>
      <w:bookmarkEnd w:id="4"/>
    </w:p>
    <w:p w14:paraId="2C752D8C"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对于这个数据集中的很多数据特征，我需要找到最合适的数据特征来进进行模型的建立，因此，我</w:t>
      </w:r>
      <w:r>
        <w:t>定义一个名为 preprocess_data的函数</w:t>
      </w:r>
      <w:r>
        <w:rPr>
          <w:rFonts w:hint="eastAsia"/>
          <w:lang w:eastAsia="zh-CN"/>
        </w:rPr>
        <w:t>，</w:t>
      </w:r>
      <w:r>
        <w:t>对DataFrame中的 Class 列进行独热编码</w:t>
      </w:r>
      <w:r>
        <w:rPr>
          <w:rFonts w:hint="eastAsia"/>
          <w:lang w:val="en-US" w:eastAsia="zh-CN"/>
        </w:rPr>
        <w:t>,</w:t>
      </w:r>
      <w:r>
        <w:t>将Class_Kecimen列提取为目标变量target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使用</w:t>
      </w:r>
      <w:r>
        <w:t>相关性矩阵显示每对数值特征之间的相关性，值范围在 [-1, 1] 之间。</w:t>
      </w:r>
      <w:r>
        <w:rPr>
          <w:rFonts w:hint="eastAsia"/>
          <w:lang w:val="en-US" w:eastAsia="zh-CN"/>
        </w:rPr>
        <w:t>最后再</w:t>
      </w:r>
      <w:r>
        <w:rPr>
          <w:rFonts w:hint="eastAsia"/>
          <w:lang w:eastAsia="zh-CN"/>
        </w:rPr>
        <w:t>用相关性热图来</w:t>
      </w:r>
      <w:r>
        <w:rPr>
          <w:rFonts w:hint="eastAsia"/>
          <w:lang w:val="en-US" w:eastAsia="zh-CN"/>
        </w:rPr>
        <w:t>可视化展示</w:t>
      </w:r>
      <w:r>
        <w:rPr>
          <w:rFonts w:hint="eastAsia"/>
          <w:lang w:eastAsia="zh-CN"/>
        </w:rPr>
        <w:t>这些数据特征</w:t>
      </w:r>
      <w:r>
        <w:rPr>
          <w:rFonts w:hint="eastAsia"/>
          <w:lang w:val="en-US" w:eastAsia="zh-CN"/>
        </w:rPr>
        <w:t>的相关性</w:t>
      </w:r>
      <w:r>
        <w:rPr>
          <w:rFonts w:hint="eastAsia"/>
          <w:lang w:eastAsia="zh-CN"/>
        </w:rPr>
        <w:t>，选择相关性大于0.6</w:t>
      </w:r>
      <w:r>
        <w:rPr>
          <w:rFonts w:hint="eastAsia"/>
          <w:lang w:val="en-US" w:eastAsia="zh-CN"/>
        </w:rPr>
        <w:t>的前两个特征参数</w:t>
      </w:r>
      <w:r>
        <w:rPr>
          <w:rFonts w:hint="eastAsia"/>
          <w:lang w:eastAsia="zh-CN"/>
        </w:rPr>
        <w:t>来作为模型搭建的参数，最终选出来得到Area和MajorAxisLength这两个指标。</w:t>
      </w:r>
    </w:p>
    <w:p w14:paraId="018549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</w:pPr>
      <w:r>
        <w:drawing>
          <wp:inline distT="0" distB="0" distL="114300" distR="114300">
            <wp:extent cx="5351145" cy="3336290"/>
            <wp:effectExtent l="0" t="0" r="190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8FFD">
      <w:pPr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数据处理部分代码）</w:t>
      </w:r>
    </w:p>
    <w:p w14:paraId="672064A5">
      <w:pPr>
        <w:pStyle w:val="13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135120" cy="3308350"/>
            <wp:effectExtent l="0" t="0" r="1778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E273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相关性热图）</w:t>
      </w:r>
    </w:p>
    <w:p w14:paraId="454A21CF">
      <w:pPr>
        <w:pStyle w:val="4"/>
        <w:bidi w:val="0"/>
        <w:rPr>
          <w:rFonts w:hint="default"/>
          <w:lang w:val="en-US" w:eastAsia="zh-CN"/>
        </w:rPr>
      </w:pPr>
      <w:bookmarkStart w:id="5" w:name="_Toc13446"/>
      <w:r>
        <w:rPr>
          <w:rFonts w:hint="eastAsia"/>
          <w:lang w:val="en-US" w:eastAsia="zh-CN"/>
        </w:rPr>
        <w:t>2.3 数据预分类</w:t>
      </w:r>
      <w:bookmarkEnd w:id="5"/>
    </w:p>
    <w:p w14:paraId="78E7D393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在此之后，每次进行模型训练之前，我还要划分数据集和验证集，</w:t>
      </w:r>
      <w:r>
        <w:rPr>
          <w:rFonts w:hint="eastAsia"/>
          <w:lang w:val="en-US" w:eastAsia="zh-CN"/>
        </w:rPr>
        <w:t>从</w:t>
      </w:r>
      <w:r>
        <w:rPr>
          <w:rFonts w:hint="default"/>
        </w:rPr>
        <w:t>sklearn.model_selection</w:t>
      </w:r>
      <w:r>
        <w:rPr>
          <w:rFonts w:hint="eastAsia"/>
          <w:lang w:val="en-US" w:eastAsia="zh-CN"/>
        </w:rPr>
        <w:t>中导入</w:t>
      </w:r>
      <w:r>
        <w:rPr>
          <w:rFonts w:hint="default"/>
        </w:rPr>
        <w:t>train_test_split</w:t>
      </w:r>
      <w:r>
        <w:rPr>
          <w:rFonts w:hint="eastAsia"/>
          <w:lang w:val="en-US" w:eastAsia="zh-CN"/>
        </w:rPr>
        <w:t>函数，</w:t>
      </w:r>
      <w:r>
        <w:rPr>
          <w:rFonts w:hint="eastAsia"/>
          <w:lang w:eastAsia="zh-CN"/>
        </w:rPr>
        <w:t>引入随机数种子，按照4:1的比例去随机划分，从而使得模型能够具有泛化性。</w:t>
      </w:r>
    </w:p>
    <w:p w14:paraId="037D62DD">
      <w:pPr>
        <w:pStyle w:val="4"/>
        <w:bidi w:val="0"/>
        <w:rPr>
          <w:rFonts w:hint="default"/>
          <w:lang w:val="en-US" w:eastAsia="zh-CN"/>
        </w:rPr>
      </w:pPr>
      <w:bookmarkStart w:id="6" w:name="_Toc23392"/>
      <w:r>
        <w:rPr>
          <w:rFonts w:hint="eastAsia"/>
          <w:lang w:val="en-US" w:eastAsia="zh-CN"/>
        </w:rPr>
        <w:t>2.4 开源数据链接</w:t>
      </w:r>
      <w:bookmarkEnd w:id="6"/>
    </w:p>
    <w:p w14:paraId="5C18098C"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开源数据链接：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"https://www.kaggle.com/datasets/muratkokludataset/raisin-dataset/data" </w:instrText>
      </w:r>
      <w:r>
        <w:rPr>
          <w:rFonts w:hint="eastAsia"/>
        </w:rPr>
        <w:fldChar w:fldCharType="separate"/>
      </w:r>
      <w:r>
        <w:rPr>
          <w:rStyle w:val="19"/>
          <w:rFonts w:hint="eastAsia"/>
        </w:rPr>
        <w:t>https://www.kaggle.com/datasets/muratkokludataset/raisin-dataset/data</w:t>
      </w:r>
      <w:r>
        <w:rPr>
          <w:rFonts w:hint="eastAsia"/>
        </w:rPr>
        <w:fldChar w:fldCharType="end"/>
      </w:r>
    </w:p>
    <w:p w14:paraId="039159B6"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bookmarkStart w:id="7" w:name="_Toc31758"/>
      <w:r>
        <w:rPr>
          <w:rFonts w:hint="eastAsia"/>
          <w:lang w:eastAsia="zh-CN"/>
        </w:rPr>
        <w:t>代码实现</w:t>
      </w:r>
      <w:bookmarkEnd w:id="7"/>
    </w:p>
    <w:p w14:paraId="197DF0E1">
      <w:pPr>
        <w:pStyle w:val="4"/>
        <w:bidi w:val="0"/>
        <w:rPr>
          <w:rFonts w:hint="eastAsia"/>
          <w:lang w:val="en-US" w:eastAsia="zh-CN"/>
        </w:rPr>
      </w:pPr>
      <w:bookmarkStart w:id="8" w:name="_Toc23684"/>
      <w:r>
        <w:rPr>
          <w:rFonts w:hint="eastAsia"/>
          <w:lang w:val="en-US" w:eastAsia="zh-CN"/>
        </w:rPr>
        <w:t>3.1 Logistic Regression方法实现</w:t>
      </w:r>
      <w:bookmarkEnd w:id="8"/>
    </w:p>
    <w:p w14:paraId="6F05F34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代码构架</w:t>
      </w:r>
    </w:p>
    <w:p w14:paraId="41F470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</w:pPr>
      <w:r>
        <w:drawing>
          <wp:inline distT="0" distB="0" distL="114300" distR="114300">
            <wp:extent cx="5273040" cy="3188970"/>
            <wp:effectExtent l="0" t="0" r="381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0943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Logistic回归代码）</w:t>
      </w:r>
    </w:p>
    <w:p w14:paraId="3E2A176A">
      <w:pPr>
        <w:pStyle w:val="1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使用logistic回归方法进行分类时，首先划分为训练集和测试集。随后，为了提高模型的训练效率和预测准确性，必须对训练集的特征进行标准化处理。标准化过程包括计算每个特征的均值和标准差，并将所有特征值转换为均值为0、标准差为1的标准化数据。这一步骤不仅有助于消除不同特征量纲的影响，还能使模型更容易收敛。标准化后的训练集和测试集特征分别存储在X_train_scaled和X_test_scaled变量中，以便后续使用。</w:t>
      </w:r>
    </w:p>
    <w:p w14:paraId="03FAE868">
      <w:pPr>
        <w:pStyle w:val="1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全面评估模型的性能，需要利用训练好的模型对测试集进行预测，并将预测结果存储在y_pred变量中。此外，通过计算模型的score（通常指准确率或其他评估指标），可以量化模型在测试集上的表现，从而对模型的泛化能力有一个直观的认识。这一系列的评估步骤不仅有助于判断模型的优劣，还能为进一步的模型优化提供重要参考。</w:t>
      </w:r>
    </w:p>
    <w:p w14:paraId="7598DB0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 可视化结果显示</w:t>
      </w:r>
    </w:p>
    <w:p w14:paraId="35E57F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</w:pPr>
      <w:r>
        <w:drawing>
          <wp:inline distT="0" distB="0" distL="114300" distR="114300">
            <wp:extent cx="5273040" cy="5600065"/>
            <wp:effectExtent l="0" t="0" r="381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0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BB25"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绘制决策边界）</w:t>
      </w:r>
    </w:p>
    <w:p w14:paraId="462C16D8">
      <w:pPr>
        <w:bidi w:val="0"/>
      </w:pPr>
      <w:r>
        <w:rPr>
          <w:rFonts w:hint="eastAsia"/>
          <w:lang w:val="en-US" w:eastAsia="zh-CN"/>
        </w:rPr>
        <w:t>该代码中我</w:t>
      </w:r>
      <w:r>
        <w:t>标记预测错误的样本（True 表示真实类别与预测类别不一致，False 表示预测正确）。</w:t>
      </w:r>
      <w:r>
        <w:rPr>
          <w:rFonts w:hint="eastAsia"/>
          <w:lang w:val="en-US" w:eastAsia="zh-CN"/>
        </w:rPr>
        <w:t>然后使用网格的方法进行决策边界，从而得到特定的数据点是否为kecimen（其实否也就是</w:t>
      </w:r>
      <w:r>
        <w:rPr>
          <w:rFonts w:hint="eastAsia"/>
          <w:lang w:eastAsia="zh-CN"/>
        </w:rPr>
        <w:t>Besni</w:t>
      </w:r>
      <w:r>
        <w:rPr>
          <w:rFonts w:hint="eastAsia"/>
          <w:lang w:val="en-US" w:eastAsia="zh-CN"/>
        </w:rPr>
        <w:t>类的</w:t>
      </w:r>
      <w:r>
        <w:rPr>
          <w:rFonts w:hint="eastAsia"/>
          <w:lang w:eastAsia="zh-CN"/>
        </w:rPr>
        <w:t>）。</w:t>
      </w:r>
      <w:r>
        <w:t>正确分类的点用圆形（"o"），错误分类的点用叉（"X"）。</w:t>
      </w:r>
    </w:p>
    <w:p w14:paraId="7F41E83B">
      <w:pPr>
        <w:bidi w:val="0"/>
        <w:rPr>
          <w:rFonts w:hint="eastAsia"/>
          <w:lang w:eastAsia="zh-CN"/>
        </w:rPr>
      </w:pPr>
    </w:p>
    <w:p w14:paraId="3D20CAB2"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54375" cy="2441575"/>
            <wp:effectExtent l="0" t="0" r="3175" b="158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24BC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（Logistic_决策边界结果图）</w:t>
      </w:r>
    </w:p>
    <w:p w14:paraId="6E62B2A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 模型评估</w:t>
      </w:r>
    </w:p>
    <w:p w14:paraId="4EFA5CE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最终模型的测试结果为：</w:t>
      </w:r>
    </w:p>
    <w:p w14:paraId="792588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</w:pPr>
      <w:r>
        <w:drawing>
          <wp:inline distT="0" distB="0" distL="114300" distR="114300">
            <wp:extent cx="5273675" cy="1157605"/>
            <wp:effectExtent l="0" t="0" r="3175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2904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模型系数反映了每个特征对目标变量（即分类结果）的贡献程度。第一个特征的系数为-0.33113448，负值意味着当该特征值增加时，模型预测目标类别为1（例如“Kecimen”）的概率会降低，更倾向于预测类别0（例如“Besni”）。第二个特征的系数为-2.74494566，较大的负值显示出该特征对分类的影响更为显著，且增加该特征值将显著降低预测类别1的概率。</w:t>
      </w:r>
    </w:p>
    <w:p w14:paraId="3FBE8728">
      <w:pPr>
        <w:bidi w:val="0"/>
        <w:rPr>
          <w:rFonts w:hint="default"/>
          <w:lang w:val="en-US" w:eastAsia="zh-CN"/>
        </w:rPr>
      </w:pPr>
      <w:r>
        <w:t>测试集准确率为 86.11%，表示模型在测试集上的预测正确率，具有较强的分类能力</w:t>
      </w:r>
      <w:r>
        <w:rPr>
          <w:rFonts w:hint="eastAsia"/>
          <w:lang w:eastAsia="zh-CN"/>
        </w:rPr>
        <w:t>，</w:t>
      </w:r>
      <w:r>
        <w:t>即正确分类的样本占总样本的比例。</w:t>
      </w:r>
      <w:r>
        <w:rPr>
          <w:rFonts w:hint="eastAsia"/>
          <w:lang w:val="en-US" w:eastAsia="zh-CN"/>
        </w:rPr>
        <w:t>也就是说，在</w:t>
      </w:r>
      <w:r>
        <w:t>数据集平衡的</w:t>
      </w:r>
      <w:r>
        <w:rPr>
          <w:rFonts w:hint="eastAsia"/>
          <w:lang w:val="en-US" w:eastAsia="zh-CN"/>
        </w:rPr>
        <w:t>前提下</w:t>
      </w:r>
      <w:r>
        <w:t>，这个准确率表明模型能够较好地区分两类</w:t>
      </w:r>
      <w:r>
        <w:rPr>
          <w:rFonts w:hint="eastAsia"/>
          <w:lang w:val="en-US" w:eastAsia="zh-CN"/>
        </w:rPr>
        <w:t>数据。</w:t>
      </w:r>
    </w:p>
    <w:p w14:paraId="3799D4D3">
      <w:pPr>
        <w:pStyle w:val="4"/>
        <w:bidi w:val="0"/>
        <w:rPr>
          <w:rFonts w:hint="eastAsia"/>
          <w:lang w:val="en-US" w:eastAsia="zh-CN"/>
        </w:rPr>
      </w:pPr>
      <w:bookmarkStart w:id="9" w:name="_Toc11540"/>
      <w:r>
        <w:rPr>
          <w:rFonts w:hint="eastAsia"/>
          <w:lang w:val="en-US" w:eastAsia="zh-CN"/>
        </w:rPr>
        <w:t>3.2 硬间隔SVM方法实现</w:t>
      </w:r>
      <w:bookmarkEnd w:id="9"/>
    </w:p>
    <w:p w14:paraId="0221EDA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代码构架</w:t>
      </w:r>
    </w:p>
    <w:p w14:paraId="530AB6B3">
      <w:pPr>
        <w:jc w:val="left"/>
        <w:rPr>
          <w:rFonts w:hint="eastAsia"/>
          <w:lang w:val="en-US" w:eastAsia="zh-CN"/>
        </w:rPr>
      </w:pPr>
    </w:p>
    <w:p w14:paraId="4D04F0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</w:pPr>
      <w:r>
        <w:drawing>
          <wp:inline distT="0" distB="0" distL="114300" distR="114300">
            <wp:extent cx="5274310" cy="3782060"/>
            <wp:effectExtent l="0" t="0" r="254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C0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(硬间隔SVM代码实现）</w:t>
      </w:r>
    </w:p>
    <w:p w14:paraId="0E482B76">
      <w:pPr>
        <w:bidi w:val="0"/>
        <w:rPr>
          <w:rFonts w:hint="default"/>
        </w:rPr>
      </w:pPr>
      <w:r>
        <w:rPr>
          <w:rFonts w:hint="eastAsia"/>
        </w:rPr>
        <w:t>这里写一个函数train_svm_model用于训练一个硬间隔支持向量机（SVM）模型并返回预测结果。也是使用 train_test_split 将输入特征 X 和目标变量 y 划分为训练集，然后通过 StandardScaler 对训练集和测试集特征进行标准化处理，以确保特征在相同尺度上。接着，函数尝试使用 LinearSVC（C=1e10，</w:t>
      </w:r>
      <w:r>
        <w:rPr>
          <w:rFonts w:hint="eastAsia"/>
          <w:lang w:val="en-US" w:eastAsia="zh-CN"/>
        </w:rPr>
        <w:t>用一个非常大的值来</w:t>
      </w:r>
      <w:r>
        <w:rPr>
          <w:rFonts w:hint="eastAsia"/>
        </w:rPr>
        <w:t>模拟硬间隔 SVM）在标准化后的训练数据上训练模型，若数据线性不可分则捕获异常并返回空值。训练完成后，模型在测试集上进行预测，输出模型系数、预测结果和准确率。最后，函数返回训练好的模型、原始和标准化后的测试集与训练集特征、训练集和测试集目标变量、预测结果以及标准化器对象。此函数适用于二分类任务，特别强调硬间隔 SVM 的应用，但要求数据线性可分。</w:t>
      </w:r>
    </w:p>
    <w:p w14:paraId="2618818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可视化结果显示</w:t>
      </w:r>
    </w:p>
    <w:p w14:paraId="41312469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</w:pPr>
      <w:r>
        <w:drawing>
          <wp:inline distT="0" distB="0" distL="114300" distR="114300">
            <wp:extent cx="5268595" cy="6311265"/>
            <wp:effectExtent l="0" t="0" r="8255" b="133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8BFF">
      <w:pPr>
        <w:pStyle w:val="13"/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(可视化硬间隔SVM代码）</w:t>
      </w:r>
    </w:p>
    <w:p w14:paraId="21D63F2E">
      <w:pPr>
        <w:pStyle w:val="13"/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此处使用函数 visualize_decision_boundary_for_svm 用于可视化硬间隔支持向量机（SVM）模型在测试集上的决策边界、支持向量和数据点。基于原始（未标准化）测试集特征 X_test，创建包含真实类别（"Besni" 或 "Kecimen"）、预测类别和误分类标记的 DataFrame。然后，生成一个基于两个特征(selected_features)的二维网格，标准化网格点后使用模型预测类别以绘制决策边界（直线）和间隔边界（w*x+b=±1）。再绘制测试集数据点，颜色表示真实类别，形状区分正确和错误分类（圆形为正确，叉形为错误）。此外，函数识别测试集中的支持向量，以红色空心圆标记。最后，生成包含决策边界、间隔、数据点和支持向量的图表，直观展示 SVM 的分类效果和支持向量位置。</w:t>
      </w:r>
    </w:p>
    <w:p w14:paraId="6D17C0D4">
      <w:pPr>
        <w:pStyle w:val="13"/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Cs w:val="24"/>
        </w:rPr>
        <w:br w:type="textWrapping"/>
      </w:r>
      <w:r>
        <w:drawing>
          <wp:inline distT="0" distB="0" distL="114300" distR="114300">
            <wp:extent cx="3576955" cy="2927350"/>
            <wp:effectExtent l="0" t="0" r="4445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rcRect l="4465" t="5183" r="6037" b="3276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6A9E">
      <w:pPr>
        <w:pStyle w:val="13"/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硬间隔SVM分类结果）</w:t>
      </w:r>
    </w:p>
    <w:p w14:paraId="2947EE5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3.2.3 模型评估分析</w:t>
      </w:r>
    </w:p>
    <w:p w14:paraId="22699C2D">
      <w:pPr>
        <w:pStyle w:val="1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</w:pPr>
      <w:r>
        <w:drawing>
          <wp:inline distT="0" distB="0" distL="114300" distR="114300">
            <wp:extent cx="5270500" cy="1195705"/>
            <wp:effectExtent l="0" t="0" r="6350" b="44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0980">
      <w:pPr>
        <w:bidi w:val="0"/>
      </w:pPr>
      <w:r>
        <w:t>硬间隔支持向量机（SVM）模型在测试集上的准确率为 85.56%，表明其在二分类任务（中具有较好的分类性能，但略低于逻辑回归模型的 86.11%。模型系数为 [[-0.94369338 -1.12941151]]，显示两个特征对分类的贡献较为接近，第二个特征的影响略大于第一个，且负系数表明特征值增加时倾向于预测类别 0。相比逻辑回归，SVM 的准确率稍低，可能因其严格的线性分离要求未完全适应数据分布。</w:t>
      </w:r>
    </w:p>
    <w:p w14:paraId="7596A558">
      <w:pPr>
        <w:pStyle w:val="4"/>
        <w:bidi w:val="0"/>
        <w:rPr>
          <w:rFonts w:hint="eastAsia"/>
          <w:lang w:val="en-US" w:eastAsia="zh-CN"/>
        </w:rPr>
      </w:pPr>
      <w:bookmarkStart w:id="10" w:name="_Toc31039"/>
      <w:r>
        <w:rPr>
          <w:rFonts w:hint="eastAsia"/>
          <w:lang w:val="en-US" w:eastAsia="zh-CN"/>
        </w:rPr>
        <w:t>3.3 非线性软间隔SVM（基于RBF，来源论文二）</w:t>
      </w:r>
      <w:bookmarkEnd w:id="10"/>
    </w:p>
    <w:p w14:paraId="6B0F7D1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代码构架</w:t>
      </w:r>
    </w:p>
    <w:p w14:paraId="569C2E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</w:pPr>
      <w:r>
        <w:drawing>
          <wp:inline distT="0" distB="0" distL="114300" distR="114300">
            <wp:extent cx="5269230" cy="4518660"/>
            <wp:effectExtent l="0" t="0" r="7620" b="1524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3F46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基于RBF的软间隔SVM代码实现）</w:t>
      </w:r>
    </w:p>
    <w:p w14:paraId="13CC3915">
      <w:pPr>
        <w:bidi w:val="0"/>
        <w:rPr>
          <w:rFonts w:hint="default"/>
          <w:lang w:val="en-US" w:eastAsia="zh-CN"/>
        </w:rPr>
      </w:pPr>
      <w:r>
        <w:t>函数 train_soft_margin_svm 实现了一个基于径向基函数（RBF）核的软间隔支持向量机（SVM）分类器，用于处理非线性可分数据。首先通过 train_test_split 将特征矩阵 X 和目标变量 y 划分为训练集和测试集。随后标准化特征，确保特征尺度一致，因为 SVM 对尺度敏感。接着，函数初始化一个 SVC 模型，采用 RBF 核，通过参数 C（默认 1.0）控制误分类惩罚的强度，gamma（默认 "scale"）调节核函数的宽度，从而实现软间隔 SVM 的非线性分类。模型在标准化后的训练集上拟合后，对测试集进行预测，并输出准确率、分类报告（包含精确率、召回率、F1 分数）和混淆矩阵以全面评估性能。函数返回训练好的模型、标准化器和测试集准确率。这种方式通过 RBF 核将数据映射到高维空间，结合软间隔机制（允许一定误分类）实现灵活的非线性分类</w:t>
      </w:r>
      <w:r>
        <w:rPr>
          <w:rFonts w:hint="eastAsia"/>
          <w:lang w:eastAsia="zh-CN"/>
        </w:rPr>
        <w:t>。</w:t>
      </w:r>
    </w:p>
    <w:p w14:paraId="21BBE57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可视化结果显示</w:t>
      </w:r>
    </w:p>
    <w:p w14:paraId="717B54C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我使用了一个</w:t>
      </w:r>
      <w:r>
        <w:t xml:space="preserve">函数 plot_decision_boundary </w:t>
      </w:r>
      <w:r>
        <w:rPr>
          <w:rFonts w:hint="eastAsia"/>
          <w:lang w:val="en-US" w:eastAsia="zh-CN"/>
        </w:rPr>
        <w:t>来进行</w:t>
      </w:r>
      <w:r>
        <w:t>可视化基于非线性支持向量机（SVM）模型（如使用 RBF 核的软间隔 SVM）的二维特征空间决策边界。它首先检查输入特征矩阵 X 是否包含正好两个特征，接着，使用提供的 scaler 对特征数据 X 进行标准化。</w:t>
      </w:r>
      <w:r>
        <w:rPr>
          <w:rFonts w:hint="eastAsia"/>
          <w:lang w:val="en-US" w:eastAsia="zh-CN"/>
        </w:rPr>
        <w:t>再</w:t>
      </w:r>
      <w:r>
        <w:t>基于标准化后的特征范围，生成一个步长 0.01</w:t>
      </w:r>
      <w:r>
        <w:rPr>
          <w:rFonts w:hint="eastAsia"/>
          <w:lang w:val="en-US" w:eastAsia="zh-CN"/>
        </w:rPr>
        <w:t>的</w:t>
      </w:r>
      <w:r>
        <w:t>二维网格，并对网格点进行模型预测，生成决策边界区域 Z。最后，绘制决策边界（使用红黄蓝颜色映射），并用 plt.scatter 绘制标准化后的数据点。展示非线性 SVM 的分类边界和数据分布，直观分析模型的分类效果。</w:t>
      </w:r>
    </w:p>
    <w:p w14:paraId="1B4227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</w:pPr>
      <w:r>
        <w:drawing>
          <wp:inline distT="0" distB="0" distL="114300" distR="114300">
            <wp:extent cx="4545965" cy="3637280"/>
            <wp:effectExtent l="0" t="0" r="6985" b="12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4C09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基于软间隔SVM的可视化结果）</w:t>
      </w:r>
    </w:p>
    <w:p w14:paraId="5D93E1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 模型评估</w:t>
      </w:r>
    </w:p>
    <w:p w14:paraId="3F001A39">
      <w:pPr>
        <w:bidi w:val="0"/>
        <w:jc w:val="center"/>
      </w:pPr>
      <w:r>
        <w:drawing>
          <wp:inline distT="0" distB="0" distL="114300" distR="114300">
            <wp:extent cx="3094990" cy="2702560"/>
            <wp:effectExtent l="0" t="0" r="10160" b="25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D652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基于RBF核的软间隔SVM模型结果）</w:t>
      </w:r>
    </w:p>
    <w:p w14:paraId="02CB647F">
      <w:pPr>
        <w:bidi w:val="0"/>
      </w:pPr>
      <w:r>
        <w:t>逻辑回归模型和硬间隔支持向量机（SVM）模型在测试集上的准确率分别为 86.11% 和 85.56%，表现接近，但逻辑回归略优。逻辑回归的模型系数（[-0.33113448, -2.74494566]）显示第二个特征对分类的影响远大于第一个。两者均假设数据线性可分，但逻辑回归的稍高准确率可能表明其对数据的拟合更灵活。硬间隔 SVM 的较低准确率可能受限于其严格的线性分离要求，若数据存在噪声或非线性结构，性能可能受影响。综合来看，逻辑回归在当前数据集上表现略优且计算成本较低，但若数据线性可分性较差，可考虑软间隔 SVM 或非线性核函数以提升性能。</w:t>
      </w:r>
    </w:p>
    <w:p w14:paraId="49530E31">
      <w:pPr>
        <w:pStyle w:val="4"/>
        <w:bidi w:val="0"/>
        <w:rPr>
          <w:rFonts w:hint="eastAsia"/>
          <w:lang w:val="en-US" w:eastAsia="zh-CN"/>
        </w:rPr>
      </w:pPr>
      <w:bookmarkStart w:id="11" w:name="_Toc24600"/>
      <w:r>
        <w:rPr>
          <w:rFonts w:hint="eastAsia"/>
          <w:lang w:val="en-US" w:eastAsia="zh-CN"/>
        </w:rPr>
        <w:t>3.4 线性软间隔SVM（基于liblinear，来源论文二中的SGD）</w:t>
      </w:r>
      <w:bookmarkEnd w:id="11"/>
    </w:p>
    <w:p w14:paraId="4748275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 代码实现</w:t>
      </w:r>
    </w:p>
    <w:p w14:paraId="5F6027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</w:pPr>
      <w:r>
        <w:drawing>
          <wp:inline distT="0" distB="0" distL="114300" distR="114300">
            <wp:extent cx="5272405" cy="5581650"/>
            <wp:effectExtent l="0" t="0" r="444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27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基于liblinear的软间隔SVM代码实现）</w:t>
      </w:r>
    </w:p>
    <w:p w14:paraId="2A02B68E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此处通过设计</w:t>
      </w:r>
      <w:r>
        <w:t>函数 train_coordinate_descent_svm 实现了一个基于坐标下降法的软间隔SVM模型，通过自定义的 CoordinateDescentSVM 类优化对偶问题。CoordinateDescentSVM 类通过迭代更新拉格朗日乘子（alpha），计算权重向量 w 和偏置项 b，并识别支持向量，允许部分误分类（通过正则化参数 C 控制）。模型在标准化后的训练集上拟合后，对测试集进行预测，并输出准确率、分类报告和混淆矩阵以评估性能。返回值为训练好的模型、标准化器和准确率。</w:t>
      </w:r>
      <w:r>
        <w:rPr>
          <w:rFonts w:hint="eastAsia"/>
          <w:lang w:val="en-US" w:eastAsia="zh-CN"/>
        </w:rPr>
        <w:t>之所以采用</w:t>
      </w:r>
      <w:r>
        <w:t>这种方法</w:t>
      </w:r>
      <w:r>
        <w:rPr>
          <w:rFonts w:hint="eastAsia"/>
          <w:lang w:val="en-US" w:eastAsia="zh-CN"/>
        </w:rPr>
        <w:t>是因为可以</w:t>
      </w:r>
      <w:r>
        <w:t>通过坐标下降法</w:t>
      </w:r>
      <w:r>
        <w:rPr>
          <w:rFonts w:hint="eastAsia"/>
          <w:lang w:val="en-US" w:eastAsia="zh-CN"/>
        </w:rPr>
        <w:t>来</w:t>
      </w:r>
      <w:r>
        <w:t>高效优化线性 SVM，适合线性可分或接近线性可分的数据</w:t>
      </w:r>
      <w:r>
        <w:rPr>
          <w:rFonts w:hint="eastAsia"/>
          <w:lang w:eastAsia="zh-CN"/>
        </w:rPr>
        <w:t>。</w:t>
      </w:r>
    </w:p>
    <w:p w14:paraId="0C9A615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可视化结果显示</w:t>
      </w:r>
    </w:p>
    <w:p w14:paraId="2DF3526C">
      <w:pPr>
        <w:bidi w:val="0"/>
      </w:pPr>
      <w:r>
        <w:rPr>
          <w:rFonts w:hint="eastAsia"/>
          <w:lang w:val="en-US" w:eastAsia="zh-CN"/>
        </w:rPr>
        <w:t>我在可视化显示结果时使用了</w:t>
      </w:r>
      <w:r>
        <w:t>函数 plot_decision_boundary</w:t>
      </w:r>
      <w:r>
        <w:rPr>
          <w:rFonts w:hint="eastAsia"/>
          <w:lang w:eastAsia="zh-CN"/>
        </w:rPr>
        <w:t>，</w:t>
      </w:r>
      <w:r>
        <w:t>用于</w:t>
      </w:r>
      <w:r>
        <w:rPr>
          <w:rFonts w:hint="eastAsia"/>
          <w:lang w:val="en-US" w:eastAsia="zh-CN"/>
        </w:rPr>
        <w:t>显示</w:t>
      </w:r>
      <w:r>
        <w:t>基于坐标下降法训练的软间隔线性支持向量机（SVM）模型在二维特征空间中的决策边界和数据点分布</w:t>
      </w:r>
      <w:r>
        <w:rPr>
          <w:rFonts w:hint="eastAsia"/>
          <w:lang w:eastAsia="zh-CN"/>
        </w:rPr>
        <w:t>。</w:t>
      </w:r>
      <w:r>
        <w:t>使用提供的 scaler 对特征进行标准化后，基于标准化特征的范围生成一个高分辨率（步长 0.01）的二维网格，并通过模型预测网格点类别以绘制分类区域。分类区域通过 plt.contourf 以红黄蓝颜色映射（透明度 0.3）显示，颜色由目标变量 y 决定。函数还利用模型的权重 w 和偏置 b 计算并绘制明确的决策边界直线（w1*x1 + w2*x2 + b = 0），以黑色实线表示，直观展示线性 SVM 的分类效果。</w:t>
      </w:r>
    </w:p>
    <w:p w14:paraId="1DE0A777">
      <w:pPr>
        <w:rPr>
          <w:rFonts w:hint="eastAsia"/>
          <w:lang w:val="en-US" w:eastAsia="zh-CN"/>
        </w:rPr>
      </w:pPr>
    </w:p>
    <w:p w14:paraId="2EA13924">
      <w:r>
        <w:drawing>
          <wp:inline distT="0" distB="0" distL="114300" distR="114300">
            <wp:extent cx="5267325" cy="4213860"/>
            <wp:effectExtent l="0" t="0" r="9525" b="1524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21DA"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Liblinear算法的软间隔SVM的线性决策边界）</w:t>
      </w:r>
    </w:p>
    <w:p w14:paraId="7588011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3.4.3 模型评估分析</w:t>
      </w:r>
    </w:p>
    <w:p w14:paraId="5E046936">
      <w:pPr>
        <w:bidi w:val="0"/>
        <w:rPr>
          <w:rFonts w:hint="default"/>
          <w:lang w:val="en-US" w:eastAsia="zh-CN"/>
        </w:rPr>
      </w:pPr>
      <w:r>
        <w:t>自定义坐标下降法实现的软间隔线性 SVM 模型在测试集上的准确率仅为 52.22%，表现较差。相比逻辑回归（86.11%）、硬间隔 SVM（85.56%）和 RBF 核软间隔 SVM（86.11%），该模型性能显著较差，需调整 C 值、增加迭代次数或考虑非线性核以改善分类效果。</w:t>
      </w:r>
      <w:r>
        <w:rPr>
          <w:rFonts w:hint="eastAsia"/>
          <w:lang w:val="en-US" w:eastAsia="zh-CN"/>
        </w:rPr>
        <w:t>可能此数据集并不是特别合适该方法。</w:t>
      </w:r>
    </w:p>
    <w:p w14:paraId="518BEDC2">
      <w:pPr>
        <w:pStyle w:val="3"/>
        <w:numPr>
          <w:ilvl w:val="0"/>
          <w:numId w:val="1"/>
        </w:numPr>
        <w:bidi w:val="0"/>
        <w:rPr>
          <w:rFonts w:hint="eastAsia"/>
          <w:lang w:eastAsia="zh-CN"/>
        </w:rPr>
      </w:pPr>
      <w:bookmarkStart w:id="12" w:name="_Toc31405"/>
      <w:r>
        <w:rPr>
          <w:rFonts w:hint="eastAsia"/>
          <w:lang w:eastAsia="zh-CN"/>
        </w:rPr>
        <w:t>文献阅读</w:t>
      </w:r>
      <w:bookmarkEnd w:id="12"/>
    </w:p>
    <w:p w14:paraId="17CCEF3E">
      <w:pPr>
        <w:pStyle w:val="4"/>
        <w:bidi w:val="0"/>
        <w:rPr>
          <w:rFonts w:hint="eastAsia"/>
          <w:lang w:val="en-US" w:eastAsia="zh-CN"/>
        </w:rPr>
      </w:pPr>
      <w:bookmarkStart w:id="13" w:name="_Toc27134"/>
      <w:r>
        <w:rPr>
          <w:rFonts w:hint="eastAsia"/>
          <w:lang w:val="en-US" w:eastAsia="zh-CN"/>
        </w:rPr>
        <w:t>4.1 论文一</w:t>
      </w:r>
      <w:bookmarkEnd w:id="13"/>
    </w:p>
    <w:p w14:paraId="726FB70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4.1.1 论文简介</w:t>
      </w:r>
    </w:p>
    <w:p w14:paraId="537366C2">
      <w:pPr>
        <w:bidi w:val="0"/>
      </w:pPr>
      <w:r>
        <w:t>《Fast SVM classifier for large-scale classification problems》</w:t>
      </w:r>
      <w:r>
        <w:rPr>
          <w:rFonts w:hint="eastAsia"/>
          <w:lang w:eastAsia="zh-CN"/>
        </w:rPr>
        <w:t>，</w:t>
      </w:r>
      <w:r>
        <w:t>发表在《Information Sciences》期刊（2023年，第642卷，119136号），作者为Huajun Wang、Genghui Li和Zhenkun Wang。论文提出了一种新的支持向量机（SVM）模型，称为截断平方铰链损失支持向量机，旨在解决大规模分类问题中的计算复杂度和鲁棒性问题。</w:t>
      </w:r>
    </w:p>
    <w:p w14:paraId="30B80E6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论文分析</w:t>
      </w:r>
    </w:p>
    <w:p w14:paraId="69CBEC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这篇</w:t>
      </w:r>
      <w:r>
        <w:t>论文提出了一种新的SVM模型，通过引入截断平方铰链损失函数来提高模型的鲁棒性和稀疏性，同时降低计算成本。</w:t>
      </w:r>
      <w:r>
        <w:rPr>
          <w:rFonts w:hint="eastAsia"/>
          <w:lang w:val="en-US" w:eastAsia="zh-CN"/>
        </w:rPr>
        <w:t>其实就是提出了一种新的损失函数，文章中写成</w:t>
      </w:r>
      <m:oMath>
        <m:sSub>
          <m:sSubPr>
            <m:ctrlPr>
              <w:rPr>
                <w:rFonts w:hint="default"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</w:rPr>
              <m:t>tx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也就是截断平方铰链损失函数。</w:t>
      </w:r>
    </w:p>
    <w:p w14:paraId="37ACC26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文章中是这样定义这个函数的：</w:t>
      </w:r>
    </w:p>
    <w:p w14:paraId="4F32E2E1">
      <w:pPr>
        <w:bidi w:val="0"/>
        <w:rPr>
          <w:rFonts w:hint="eastAsia"/>
          <w:sz w:val="28"/>
          <w:szCs w:val="24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/>
                  <w:sz w:val="28"/>
                  <w:szCs w:val="24"/>
                </w:rPr>
                <m:t>ℓ</m:t>
              </m:r>
              <m:ctrlPr>
                <w:rPr>
                  <w:rFonts w:ascii="Cambria Math" w:hAnsi="Cambria Math"/>
                  <w:sz w:val="28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/>
                  <w:sz w:val="28"/>
                  <w:szCs w:val="24"/>
                </w:rPr>
                <m:t>ts</m:t>
              </m:r>
              <m:ctrlPr>
                <w:rPr>
                  <w:rFonts w:ascii="Cambria Math" w:hAnsi="Cambria Math"/>
                  <w:sz w:val="28"/>
                  <w:szCs w:val="24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/>
              <w:sz w:val="28"/>
              <w:szCs w:val="24"/>
            </w:rPr>
            <m:t>(r):=</m:t>
          </m:r>
          <m:d>
            <m:dPr>
              <m:begChr m:val="{"/>
              <m:endChr m:val=""/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plcHide m:val="1"/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4"/>
                      </w:rPr>
                      <m:t>1,</m:t>
                    </m: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4"/>
                      </w:rPr>
                      <m:t>r&gt;1</m:t>
                    </m: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hint="default" w:ascii="Cambria Math" w:hAnsi="Cambria Math"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4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sup>
                    </m:sSup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4"/>
                      </w:rPr>
                      <m:t>,</m:t>
                    </m:r>
                    <m:ctrlPr>
                      <w:rPr>
                        <w:rFonts w:hint="default" w:ascii="Cambria Math" w:hAnsi="Cambria Math"/>
                        <w:sz w:val="28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4"/>
                      </w:rPr>
                      <m:t>r∈[0,1]</m:t>
                    </m:r>
                    <m:ctrlPr>
                      <w:rPr>
                        <w:rFonts w:hint="default" w:ascii="Cambria Math" w:hAnsi="Cambria Math"/>
                        <w:sz w:val="28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4"/>
                      </w:rPr>
                      <m:t>0,</m:t>
                    </m:r>
                    <m:ctrlPr>
                      <w:rPr>
                        <w:rFonts w:hint="default" w:ascii="Cambria Math" w:hAnsi="Cambria Math"/>
                        <w:sz w:val="28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4"/>
                      </w:rPr>
                      <m:t>r&lt;0</m:t>
                    </m:r>
                    <m:ctrlPr>
                      <w:rPr>
                        <w:rFonts w:hint="default" w:ascii="Cambria Math" w:hAnsi="Cambria Math"/>
                        <w:sz w:val="28"/>
                        <w:szCs w:val="24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e>
          </m:d>
        </m:oMath>
      </m:oMathPara>
    </w:p>
    <w:p w14:paraId="79FEAD1C">
      <w:pPr>
        <w:bidi w:val="0"/>
      </w:pPr>
      <w:r>
        <w:t>其中 ，</w:t>
      </w:r>
      <m:oMath>
        <m:r>
          <m:rPr>
            <m:sty m:val="p"/>
          </m:rPr>
          <w:rPr>
            <w:rFonts w:hint="default" w:ascii="Cambria Math" w:hAnsi="Cambria Math"/>
          </w:rPr>
          <m:t>r=1−</m:t>
        </m:r>
        <m:sSub>
          <m:sSubPr>
            <m:ctrlPr>
              <w:rPr>
                <w:rFonts w:hint="default"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</w:rPr>
          <m:t>(⟨w,</m:t>
        </m:r>
        <m:sSub>
          <m:sSubPr>
            <m:ctrlPr>
              <w:rPr>
                <w:rFonts w:hint="default"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</w:rPr>
          <m:t>⟩+b)</m:t>
        </m:r>
      </m:oMath>
      <w:r>
        <w:t>表示分类误差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从</w:t>
      </w:r>
      <w:r>
        <w:t>鲁棒性</w:t>
      </w:r>
      <w:r>
        <w:rPr>
          <w:rFonts w:hint="eastAsia"/>
          <w:lang w:val="en-US" w:eastAsia="zh-CN"/>
        </w:rPr>
        <w:t>角度分析，</w:t>
      </w:r>
      <w:r>
        <w:t>当r&gt;1 时，损失固定为1，限制了异常值对模型的过度影响，比传统铰链损失</w:t>
      </w:r>
      <w:r>
        <w:rPr>
          <w:rFonts w:hint="eastAsia"/>
          <w:lang w:val="en-US" w:eastAsia="zh-CN"/>
        </w:rPr>
        <w:t>和</w:t>
      </w:r>
      <w:r>
        <w:t>平方铰链损失更鲁棒。</w:t>
      </w:r>
    </w:p>
    <w:p w14:paraId="05B5D009">
      <w:pPr>
        <w:bidi w:val="0"/>
      </w:pPr>
      <w:r>
        <w:rPr>
          <w:rFonts w:hint="eastAsia"/>
          <w:lang w:val="en-US" w:eastAsia="zh-CN"/>
        </w:rPr>
        <w:t>而从</w:t>
      </w:r>
      <w:r>
        <w:t>稀疏性</w:t>
      </w:r>
      <w:r>
        <w:rPr>
          <w:rFonts w:hint="eastAsia"/>
          <w:lang w:val="en-US" w:eastAsia="zh-CN"/>
        </w:rPr>
        <w:t>的角度来分析，</w:t>
      </w:r>
      <w:r>
        <w:t>当 r&lt;0 时，损失为0，减少了支持向量的数量，从而提高了模型的稀疏性。</w:t>
      </w:r>
    </w:p>
    <w:p w14:paraId="2E5BF0AA">
      <w:pPr>
        <w:bidi w:val="0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那么在有了新的损失函数以后，就可以提出新的SVM模型，也就是新的优化问题变成了：</w:t>
      </w:r>
    </w:p>
    <w:p w14:paraId="34A3523C">
      <w:pPr>
        <w:bidi w:val="0"/>
        <w:rPr>
          <w:rFonts w:hint="default" w:hAnsi="Cambria Math" w:eastAsia="宋体"/>
          <w:i w:val="0"/>
          <w:sz w:val="28"/>
          <w:szCs w:val="24"/>
        </w:rPr>
      </w:pPr>
      <m:oMathPara>
        <m:oMath>
          <m:func>
            <m:funcPr>
              <m:ctrlPr>
                <w:rPr>
                  <w:rFonts w:hint="default" w:ascii="Cambria Math" w:hAnsi="Cambria Math" w:eastAsia="宋体"/>
                  <w:sz w:val="28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min</m:t>
                  </m:r>
                  <m:ctrlPr>
                    <w:rPr>
                      <w:rFonts w:ascii="Cambria Math" w:hAnsi="Cambria Math" w:eastAsia="宋体"/>
                      <w:sz w:val="28"/>
                      <w:szCs w:val="24"/>
                    </w:rPr>
                  </m:ctrlPr>
                </m:e>
                <m:lim>
                  <m:r>
                    <m:rPr>
                      <m:sty m:val="b"/>
                    </m:r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w</m:t>
                  </m:r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∈</m:t>
                  </m:r>
                  <m:sSup>
                    <m:sSupPr>
                      <m:ctrlPr>
                        <w:rPr>
                          <w:rFonts w:hint="default" w:ascii="Cambria Math" w:hAnsi="Cambria Math" w:eastAsia="宋体"/>
                          <w:sz w:val="28"/>
                          <w:szCs w:val="24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hint="default" w:ascii="Cambria Math" w:hAnsi="Cambria Math" w:eastAsia="MS Mincho"/>
                          <w:sz w:val="28"/>
                          <w:szCs w:val="24"/>
                        </w:rPr>
                        <m:t>ℝ</m:t>
                      </m:r>
                      <m:ctrlPr>
                        <w:rPr>
                          <w:rFonts w:ascii="Cambria Math" w:hAnsi="Cambria Math" w:eastAsia="宋体"/>
                          <w:sz w:val="28"/>
                          <w:szCs w:val="24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eastAsia="宋体"/>
                          <w:sz w:val="28"/>
                          <w:szCs w:val="24"/>
                        </w:rPr>
                        <m:t>n</m:t>
                      </m:r>
                      <m:ctrlPr>
                        <w:rPr>
                          <w:rFonts w:ascii="Cambria Math" w:hAnsi="Cambria Math" w:eastAsia="宋体"/>
                          <w:sz w:val="28"/>
                          <w:szCs w:val="24"/>
                        </w:rPr>
                      </m:ctrlPr>
                    </m:sup>
                  </m:sSup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,b∈</m:t>
                  </m:r>
                  <m:r>
                    <m:rPr>
                      <m:scr m:val="double-struck"/>
                    </m:rPr>
                    <w:rPr>
                      <w:rFonts w:hint="default" w:ascii="Cambria Math" w:hAnsi="Cambria Math" w:eastAsia="MS Mincho"/>
                      <w:sz w:val="28"/>
                      <w:szCs w:val="24"/>
                    </w:rPr>
                    <m:t>ℝ</m:t>
                  </m: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lim>
              </m:limLow>
              <m:ctrlPr>
                <w:rPr>
                  <w:rFonts w:hint="default" w:ascii="Cambria Math" w:hAnsi="Cambria Math" w:eastAsia="宋体"/>
                  <w:sz w:val="28"/>
                  <w:szCs w:val="24"/>
                </w:rPr>
              </m:ctrlPr>
            </m:fName>
            <m:e>
              <m:f>
                <m:fPr>
                  <m:ctrlPr>
                    <w:rPr>
                      <w:rFonts w:hint="default" w:ascii="Cambria Math" w:hAnsi="Cambria Math" w:eastAsia="宋体"/>
                      <w:i/>
                      <w:sz w:val="28"/>
                      <w:szCs w:val="24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1</m:t>
                  </m: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2</m:t>
                  </m: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den>
              </m:f>
              <m:ctrlPr>
                <w:rPr>
                  <w:rFonts w:hint="default" w:ascii="Cambria Math" w:hAnsi="Cambria Math" w:eastAsia="宋体"/>
                  <w:i/>
                  <w:sz w:val="28"/>
                  <w:szCs w:val="24"/>
                </w:rPr>
              </m:ctrlPr>
            </m:e>
          </m:func>
          <m:r>
            <m:rPr/>
            <w:rPr>
              <w:rFonts w:hint="default" w:ascii="Cambria Math" w:hAnsi="Cambria Math" w:eastAsia="宋体"/>
              <w:sz w:val="28"/>
              <w:szCs w:val="24"/>
            </w:rPr>
            <m:t>‖</m:t>
          </m:r>
          <m:r>
            <m:rPr>
              <m:sty m:val="b"/>
            </m:rPr>
            <w:rPr>
              <w:rFonts w:hint="default" w:ascii="Cambria Math" w:hAnsi="Cambria Math" w:eastAsia="宋体"/>
              <w:sz w:val="28"/>
              <w:szCs w:val="24"/>
            </w:rPr>
            <m:t>w</m:t>
          </m:r>
          <m:sSup>
            <m:sSupPr>
              <m:ctrlPr>
                <w:rPr>
                  <w:rFonts w:hint="default" w:ascii="Cambria Math" w:hAnsi="Cambria Math" w:eastAsia="宋体"/>
                  <w:sz w:val="28"/>
                  <w:szCs w:val="24"/>
                </w:rPr>
              </m:ctrlPr>
            </m:sSupPr>
            <m:e>
              <m:r>
                <m:rPr/>
                <w:rPr>
                  <w:rFonts w:hint="default" w:ascii="Cambria Math" w:hAnsi="Cambria Math" w:eastAsia="宋体"/>
                  <w:sz w:val="28"/>
                  <w:szCs w:val="24"/>
                </w:rPr>
                <m:t>‖</m:t>
              </m:r>
              <m:ctrlPr>
                <w:rPr>
                  <w:rFonts w:hint="default" w:ascii="Cambria Math" w:hAnsi="Cambria Math" w:eastAsia="宋体"/>
                  <w:i/>
                  <w:sz w:val="28"/>
                  <w:szCs w:val="24"/>
                </w:rPr>
              </m:ctrlPr>
            </m:e>
            <m:sup>
              <m:r>
                <m:rPr/>
                <w:rPr>
                  <w:rFonts w:hint="default" w:ascii="Cambria Math" w:hAnsi="Cambria Math" w:eastAsia="宋体"/>
                  <w:sz w:val="28"/>
                  <w:szCs w:val="24"/>
                </w:rPr>
                <m:t>2</m:t>
              </m:r>
              <m:ctrlPr>
                <w:rPr>
                  <w:rFonts w:hint="default" w:ascii="Cambria Math" w:hAnsi="Cambria Math" w:eastAsia="宋体"/>
                  <w:i/>
                  <w:sz w:val="28"/>
                  <w:szCs w:val="24"/>
                </w:rPr>
              </m:ctrlPr>
            </m:sup>
          </m:sSup>
          <m:r>
            <m:rPr/>
            <w:rPr>
              <w:rFonts w:hint="default" w:ascii="Cambria Math" w:hAnsi="Cambria Math" w:eastAsia="宋体"/>
              <w:sz w:val="28"/>
              <w:szCs w:val="24"/>
            </w:rPr>
            <m:t>+η</m:t>
          </m:r>
          <m:nary>
            <m:naryPr>
              <m:chr m:val="∑"/>
              <m:limLoc m:val="undOvr"/>
              <m:ctrlPr>
                <w:rPr>
                  <w:rFonts w:hint="default" w:ascii="Cambria Math" w:hAnsi="Cambria Math" w:eastAsia="宋体"/>
                  <w:sz w:val="28"/>
                  <w:szCs w:val="24"/>
                </w:rPr>
              </m:ctrlPr>
            </m:naryPr>
            <m:sub>
              <m:r>
                <m:rPr/>
                <w:rPr>
                  <w:rFonts w:hint="default" w:ascii="Cambria Math" w:hAnsi="Cambria Math" w:eastAsia="宋体"/>
                  <w:sz w:val="28"/>
                  <w:szCs w:val="24"/>
                </w:rPr>
                <m:t>i=1</m:t>
              </m:r>
              <m:ctrlPr>
                <w:rPr>
                  <w:rFonts w:hint="default" w:ascii="Cambria Math" w:hAnsi="Cambria Math" w:eastAsia="宋体"/>
                  <w:i/>
                  <w:sz w:val="28"/>
                  <w:szCs w:val="24"/>
                </w:rPr>
              </m:ctrlPr>
            </m:sub>
            <m:sup>
              <m:r>
                <m:rPr/>
                <w:rPr>
                  <w:rFonts w:hint="default" w:ascii="Cambria Math" w:hAnsi="Cambria Math" w:eastAsia="宋体"/>
                  <w:sz w:val="28"/>
                  <w:szCs w:val="24"/>
                </w:rPr>
                <m:t>m</m:t>
              </m:r>
              <m:ctrlPr>
                <w:rPr>
                  <w:rFonts w:hint="default" w:ascii="Cambria Math" w:hAnsi="Cambria Math" w:eastAsia="宋体"/>
                  <w:i/>
                  <w:sz w:val="28"/>
                  <w:szCs w:val="24"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ℓ</m:t>
                  </m: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ts</m:t>
                  </m: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sub>
              </m:sSub>
              <m:ctrlPr>
                <w:rPr>
                  <w:rFonts w:hint="default" w:ascii="Cambria Math" w:hAnsi="Cambria Math" w:eastAsia="宋体"/>
                  <w:sz w:val="28"/>
                  <w:szCs w:val="24"/>
                </w:rPr>
              </m:ctrlPr>
            </m:e>
          </m:nary>
          <m:d>
            <m:dPr>
              <m:ctrlPr>
                <w:rPr>
                  <w:rFonts w:hint="default" w:ascii="Cambria Math" w:hAnsi="Cambria Math" w:eastAsia="宋体"/>
                  <w:sz w:val="28"/>
                  <w:szCs w:val="24"/>
                </w:rPr>
              </m:ctrlPr>
            </m:dPr>
            <m:e>
              <m:r>
                <m:rPr/>
                <w:rPr>
                  <w:rFonts w:hint="default" w:ascii="Cambria Math" w:hAnsi="Cambria Math" w:eastAsia="宋体"/>
                  <w:sz w:val="28"/>
                  <w:szCs w:val="24"/>
                </w:rPr>
                <m:t>1−</m:t>
              </m:r>
              <m:sSub>
                <m:sSubP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y</m:t>
                  </m: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i</m:t>
                  </m: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sub>
              </m:sSub>
              <m:d>
                <m:dP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⟨</m:t>
                  </m:r>
                  <m:r>
                    <m:rPr>
                      <m:sty m:val="b"/>
                    </m:r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w</m:t>
                  </m:r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hint="default" w:ascii="Cambria Math" w:hAnsi="Cambria Math" w:eastAsia="宋体"/>
                          <w:sz w:val="28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hint="default" w:ascii="Cambria Math" w:hAnsi="Cambria Math" w:eastAsia="宋体"/>
                          <w:sz w:val="28"/>
                          <w:szCs w:val="24"/>
                        </w:rPr>
                        <m:t>x</m:t>
                      </m:r>
                      <m:ctrlPr>
                        <w:rPr>
                          <w:rFonts w:ascii="Cambria Math" w:hAnsi="Cambria Math" w:eastAsia="宋体"/>
                          <w:sz w:val="28"/>
                          <w:szCs w:val="24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/>
                          <w:sz w:val="28"/>
                          <w:szCs w:val="24"/>
                        </w:rPr>
                        <m:t>i</m:t>
                      </m:r>
                      <m:ctrlPr>
                        <w:rPr>
                          <w:rFonts w:ascii="Cambria Math" w:hAnsi="Cambria Math" w:eastAsia="宋体"/>
                          <w:sz w:val="28"/>
                          <w:szCs w:val="24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⟩</m:t>
                  </m:r>
                  <m:r>
                    <m:rPr/>
                    <w:rPr>
                      <w:rFonts w:hint="default" w:ascii="Cambria Math" w:hAnsi="Cambria Math" w:eastAsia="宋体"/>
                      <w:sz w:val="28"/>
                      <w:szCs w:val="24"/>
                    </w:rPr>
                    <m:t>+b</m:t>
                  </m:r>
                  <m:ctrlPr>
                    <w:rPr>
                      <w:rFonts w:hint="default" w:ascii="Cambria Math" w:hAnsi="Cambria Math" w:eastAsia="宋体"/>
                      <w:sz w:val="28"/>
                      <w:szCs w:val="24"/>
                    </w:rPr>
                  </m:ctrlPr>
                </m:e>
              </m:d>
              <m:ctrlPr>
                <w:rPr>
                  <w:rFonts w:hint="default" w:ascii="Cambria Math" w:hAnsi="Cambria Math" w:eastAsia="宋体"/>
                  <w:sz w:val="28"/>
                  <w:szCs w:val="24"/>
                </w:rPr>
              </m:ctrlPr>
            </m:e>
          </m:d>
        </m:oMath>
      </m:oMathPara>
    </w:p>
    <w:p w14:paraId="6B8A1649">
      <w:pPr>
        <w:bidi w:val="0"/>
        <m:rPr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这就是这个文章中所提出的学习机，那么我们就有了正则化参数</w:t>
      </w:r>
      <m:oMath>
        <m:r>
          <m:rPr>
            <m:sty m:val="p"/>
          </m:rPr>
          <w:rPr>
            <w:rFonts w:hint="default" w:ascii="Cambria Math" w:hAnsi="Cambria Math"/>
          </w:rPr>
          <m:t>η</m:t>
        </m:r>
      </m:oMath>
      <w:r>
        <m:rPr/>
        <w:rPr>
          <w:rFonts w:hint="eastAsia"/>
          <w:lang w:eastAsia="zh-CN"/>
        </w:rPr>
        <w:t>，</w:t>
      </w:r>
      <w:r>
        <m:rPr/>
        <w:rPr>
          <w:rFonts w:hint="eastAsia"/>
          <w:lang w:val="en-US" w:eastAsia="zh-CN"/>
        </w:rPr>
        <w:t>其中x和y分别是样本特征和标签。通过以上步骤，我们就完整地构建了一套有创新性的SVM算法。</w:t>
      </w:r>
    </w:p>
    <w:p w14:paraId="60BD4439">
      <w:pPr>
        <w:bidi w:val="0"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这篇论文在创新方面，不仅在于提出了一种新的loss函数去构建SVM算法，还</w:t>
      </w:r>
      <w:r>
        <w:t>提出了一种新的交替方向乘子法（</w:t>
      </w:r>
      <m:oMath>
        <m:sSub>
          <m:sSubPr>
            <m:ctrlPr>
              <w:rPr>
                <w:rFonts w:hint="default"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</w:rPr>
              <m:t>tx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  <w:lang w:val="en-US" w:eastAsia="zh-CN"/>
        </w:rPr>
        <w:t>-</w:t>
      </w:r>
      <w:r>
        <w:t>ADMM），结合工作集策略，通过随机划分训练集为工作集和非工作集，降低计算复杂度。证明了算法的全局收敛性（</w:t>
      </w:r>
      <w:r>
        <w:rPr>
          <w:rFonts w:hint="eastAsia"/>
          <w:lang w:val="en-US" w:eastAsia="zh-CN"/>
        </w:rPr>
        <w:t>公式</w:t>
      </w:r>
      <w:r>
        <w:t>4.2），确保其收敛到近端驻点（即局部最优解）。算法在每次迭代中只处理部分数据，计算复杂度低，适合大规模数据集。</w:t>
      </w:r>
      <w:r>
        <w:rPr>
          <w:rFonts w:hint="eastAsia"/>
          <w:lang w:val="en-US" w:eastAsia="zh-CN"/>
        </w:rPr>
        <w:t>并</w:t>
      </w:r>
      <w:r>
        <w:t>通过与八种其他SVM求解器（包括HSVM、SSVM、PSVM等）的比较，验证了</w:t>
      </w:r>
      <m:oMath>
        <m:sSub>
          <m:sSubPr>
            <m:ctrlPr>
              <w:rPr>
                <w:rFonts w:hint="default"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</w:rPr>
              <m:t>tx</m:t>
            </m:r>
            <m:ctrlPr>
              <w:rPr>
                <w:rFonts w:ascii="Cambria Math" w:hAnsi="Cambria Math"/>
              </w:rPr>
            </m:ctrlPr>
          </m:sub>
        </m:sSub>
      </m:oMath>
      <w:r>
        <w:t>-SVM的优越性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即使用较少的支持向量，以及较短的训练时间，就能鲁棒性较好，准确率较高的结果。</w:t>
      </w:r>
    </w:p>
    <w:p w14:paraId="0E301EB7">
      <w:pPr>
        <w:pStyle w:val="4"/>
        <w:bidi w:val="0"/>
        <w:rPr>
          <w:rFonts w:hint="default"/>
          <w:lang w:val="en-US" w:eastAsia="zh-CN"/>
        </w:rPr>
      </w:pPr>
      <w:bookmarkStart w:id="14" w:name="_Toc6543"/>
      <w:r>
        <w:rPr>
          <w:rFonts w:hint="eastAsia"/>
          <w:lang w:val="en-US" w:eastAsia="zh-CN"/>
        </w:rPr>
        <w:t>4.2 论文二</w:t>
      </w:r>
      <w:bookmarkEnd w:id="14"/>
    </w:p>
    <w:p w14:paraId="7A72F84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论文简介</w:t>
      </w:r>
    </w:p>
    <w:p w14:paraId="646E9F13">
      <w:pPr>
        <w:bidi w:val="0"/>
        <w:rPr>
          <w:rFonts w:hint="default"/>
          <w:lang w:val="en-US" w:eastAsia="zh-CN"/>
        </w:rPr>
      </w:pPr>
      <w:r>
        <w:t>《SVM-SMO-SGD: A hybrid-parallel support vector machine algorithm using sequential minimal optimization with stochastic gradient descent》，发表在《Parallel Computing》期刊（2022年，第113卷，102955）。作者为Gizen Mutlu和Çiğdem İnan Acı，提出了一种结合支持向量机（SVM）、顺序最小优化（SMO）和随机梯度下降（SGD）的混合并行算法，称为SVM-SMO-SGD，旨在优化SVM在大规模数据集上的时间和资源消耗，同时保持高精度。</w:t>
      </w:r>
    </w:p>
    <w:p w14:paraId="23526A32">
      <w:pPr>
        <w:pStyle w:val="5"/>
        <w:bidi w:val="0"/>
      </w:pPr>
      <w:r>
        <w:rPr>
          <w:rFonts w:hint="eastAsia"/>
          <w:lang w:val="en-US" w:eastAsia="zh-CN"/>
        </w:rPr>
        <w:t>4.2.2 论文分析</w:t>
      </w:r>
    </w:p>
    <w:p w14:paraId="7A6B493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这篇文章是为了处理当数据量极具增加时，普通SVM所需时间大大增加的问题，因此</w:t>
      </w:r>
      <w:r>
        <w:t>提出一种混合算法SVM-SMO-SGD，通过结合SMO（优化SVM权重计算）和SGD（加速权重更新），在CPU和GPU上实现更高效的并行计算，减少时间和资源消耗，同时保持SVM的分类精度。</w:t>
      </w:r>
      <w:r>
        <w:rPr>
          <w:rFonts w:hint="eastAsia"/>
          <w:lang w:val="en-US" w:eastAsia="zh-CN"/>
        </w:rPr>
        <w:t>在算法优化方面，主要体现在SVM与SMO的结合上。</w:t>
      </w:r>
    </w:p>
    <w:p w14:paraId="10C2D92E">
      <w:pPr>
        <w:pStyle w:val="13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基于传统的SVM，其</w:t>
      </w:r>
      <w:r>
        <w:t>目标是找到一个最优超平面，用于最大化分类边界。在非线性情况下，SVM通过核函数（如高斯径向基函数，RBF）将数据映射到高维空间，优化问题可以表示为以下二次规划形式</w:t>
      </w:r>
      <w:r>
        <w:rPr>
          <w:rFonts w:hint="eastAsia"/>
          <w:lang w:eastAsia="zh-CN"/>
        </w:rPr>
        <w:t>：</w:t>
      </w:r>
    </w:p>
    <w:p w14:paraId="1D6644AA">
      <w:pPr>
        <w:bidi w:val="0"/>
        <w:rPr>
          <w:rFonts w:hint="default"/>
        </w:rPr>
      </w:pPr>
      <m:oMathPara>
        <m:oMath>
          <m:func>
            <m:funcPr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4"/>
                    </w:rPr>
                    <m:t>min</m:t>
                  </m:r>
                  <m:ctrlPr>
                    <w:rPr>
                      <w:rFonts w:ascii="Cambria Math" w:hAnsi="Cambria Math"/>
                      <w:sz w:val="28"/>
                      <w:szCs w:val="24"/>
                    </w:rPr>
                  </m:ctrlPr>
                </m:e>
                <m:lim>
                  <m:sSub>
                    <m:sSubP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sub>
                  </m:sSub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lim>
              </m:limLow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fName>
            <m:e>
              <m:r>
                <m:rPr>
                  <m:sty m:val="p"/>
                </m:rPr>
                <w:rPr>
                  <w:rFonts w:hint="default" w:ascii="Cambria Math" w:hAnsi="Cambria Math"/>
                  <w:sz w:val="28"/>
                  <w:szCs w:val="24"/>
                </w:rPr>
                <m:t>φ</m:t>
              </m:r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e>
          </m:func>
          <m:r>
            <m:rPr>
              <m:sty m:val="p"/>
            </m:rPr>
            <w:rPr>
              <w:rFonts w:hint="default" w:ascii="Cambria Math" w:hAnsi="Cambria Math"/>
              <w:sz w:val="28"/>
              <w:szCs w:val="24"/>
            </w:rPr>
            <m:t>(α)=</m:t>
          </m:r>
          <m:func>
            <m:funcPr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4"/>
                    </w:rPr>
                    <m:t>min</m:t>
                  </m:r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e>
                <m:lim>
                  <m:sSub>
                    <m:sSubP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α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sub>
                  </m:sSub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lim>
              </m:limLow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fName>
            <m:e>
              <m:d>
                <m:dPr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i=1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  <m:t>j=1</m:t>
                          </m:r>
                          <m:ctrlPr>
                            <w:rPr>
                              <w:rFonts w:ascii="Cambria Math" w:hAnsi="Cambria Math"/>
                              <w:sz w:val="28"/>
                              <w:szCs w:val="24"/>
                            </w:rPr>
                          </m:ctrlP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  <m:t>N</m:t>
                          </m:r>
                          <m:ctrlPr>
                            <w:rPr>
                              <w:rFonts w:ascii="Cambria Math" w:hAnsi="Cambria Math"/>
                              <w:sz w:val="28"/>
                              <w:szCs w:val="24"/>
                            </w:rPr>
                          </m:ctrlPr>
                        </m:sup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sz w:val="28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/>
                                  <w:sz w:val="28"/>
                                  <w:szCs w:val="24"/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/>
                                  <w:sz w:val="28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/>
                                  <w:sz w:val="28"/>
                                  <w:szCs w:val="24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/>
                                  <w:sz w:val="28"/>
                                  <w:szCs w:val="24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e>
                      </m:nary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e>
                  </m:nary>
                  <m:sSub>
                    <m:sSubP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j</m:t>
                      </m: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4"/>
                    </w:rPr>
                    <m:t>K</m:t>
                  </m:r>
                  <m:d>
                    <m:dP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hint="default" w:ascii="Cambria Math" w:hAnsi="Cambria Math"/>
                                  <w:sz w:val="28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/>
                                  <w:sz w:val="28"/>
                                  <w:szCs w:val="24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sz w:val="28"/>
                                  <w:szCs w:val="24"/>
                                </w:rPr>
                              </m:ctrlPr>
                            </m:e>
                          </m:acc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  <m:t>i</m:t>
                          </m:r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hint="default" w:ascii="Cambria Math" w:hAnsi="Cambria Math"/>
                                  <w:sz w:val="28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/>
                                  <w:sz w:val="28"/>
                                  <w:szCs w:val="24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sz w:val="28"/>
                                  <w:szCs w:val="24"/>
                                </w:rPr>
                              </m:ctrlPr>
                            </m:e>
                          </m:acc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  <m:t>j</m:t>
                          </m:r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α</m:t>
                      </m: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α</m:t>
                      </m: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j</m:t>
                      </m: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4"/>
                    </w:rPr>
                    <m:t>−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i=1</m:t>
                      </m: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N</m:t>
                      </m: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up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  <m:t>α</m:t>
                          </m:r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  <m:t>i</m:t>
                          </m:r>
                          <m:ctrlPr>
                            <w:rPr>
                              <w:rFonts w:hint="default" w:ascii="Cambria Math" w:hAnsi="Cambria Math"/>
                              <w:sz w:val="28"/>
                              <w:szCs w:val="24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e>
                  </m:nary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e>
              </m:d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e>
          </m:func>
        </m:oMath>
      </m:oMathPara>
    </w:p>
    <w:p w14:paraId="3F4F4D61">
      <w:pPr>
        <w:bidi w:val="0"/>
        <w:rPr>
          <w:rFonts w:hint="default" w:hAnsi="Cambria Math"/>
          <w:i w:val="0"/>
          <w:sz w:val="24"/>
          <w:szCs w:val="22"/>
        </w:rPr>
      </w:pPr>
      <w:r>
        <w:rPr>
          <w:rFonts w:hint="eastAsia"/>
          <w:lang w:val="en-US" w:eastAsia="zh-CN"/>
        </w:rPr>
        <w:t>有约束条件：</w:t>
      </w:r>
      <m:oMath>
        <m:r>
          <m:rPr>
            <m:sty m:val="p"/>
          </m:rPr>
          <w:rPr>
            <w:rFonts w:hint="default" w:ascii="Cambria Math" w:hAnsi="Cambria Math"/>
            <w:sz w:val="24"/>
            <w:szCs w:val="20"/>
          </w:rPr>
          <m:t xml:space="preserve">subject  </m:t>
        </m:r>
        <m:m>
          <m:mPr>
            <m:mcs>
              <m:mc>
                <m:mcPr>
                  <m:count m:val="2"/>
                  <m:mcJc m:val="left"/>
                </m:mcPr>
              </m:mc>
            </m:mcs>
            <m:plcHide m:val="1"/>
            <m:ctrlPr>
              <w:rPr>
                <w:rFonts w:hint="default" w:ascii="Cambria Math" w:hAnsi="Cambria Math"/>
                <w:sz w:val="24"/>
                <w:szCs w:val="22"/>
              </w:rPr>
            </m:ctrlPr>
          </m:mPr>
          <m:mr>
            <m:e>
              <m:ctrlPr>
                <w:rPr>
                  <w:rFonts w:ascii="Cambria Math" w:hAnsi="Cambria Math"/>
                  <w:sz w:val="24"/>
                  <w:szCs w:val="22"/>
                </w:rPr>
              </m:ctrlPr>
            </m:e>
            <m:e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szCs w:val="22"/>
                </w:rPr>
                <m:t>0≤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2"/>
                    </w:rPr>
                    <m:t>α</m:t>
                  </m: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2"/>
                    </w:rPr>
                    <m:t>i</m:t>
                  </m: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szCs w:val="22"/>
                </w:rPr>
                <m:t>≤C,  ∀i,</m:t>
              </m:r>
              <m:ctrlPr>
                <w:rPr>
                  <w:rFonts w:hint="default" w:ascii="Cambria Math" w:hAnsi="Cambria Math"/>
                  <w:sz w:val="24"/>
                  <w:szCs w:val="22"/>
                </w:rPr>
              </m:ctrlPr>
            </m:e>
          </m:mr>
          <m:mr>
            <m:e>
              <m:ctrlPr>
                <w:rPr>
                  <w:rFonts w:hint="default" w:ascii="Cambria Math" w:hAnsi="Cambria Math"/>
                  <w:sz w:val="24"/>
                  <w:szCs w:val="22"/>
                </w:rPr>
              </m:ctrlPr>
            </m:e>
            <m:e>
              <m:nary>
                <m:naryPr>
                  <m:chr m:val="∑"/>
                  <m:limLoc m:val="undOvr"/>
                  <m:ctrlPr>
                    <w:rPr>
                      <w:rFonts w:hint="default" w:ascii="Cambria Math" w:hAnsi="Cambria Math"/>
                      <w:sz w:val="24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2"/>
                    </w:rPr>
                    <m:t>i=1</m:t>
                  </m: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2"/>
                    </w:rPr>
                    <m:t>N</m:t>
                  </m: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up>
                <m:e>
                  <m:sSub>
                    <m:sSubPr>
                      <m:ctrlPr>
                        <w:rPr>
                          <w:rFonts w:hint="default" w:ascii="Cambria Math" w:hAnsi="Cambria Math"/>
                          <w:sz w:val="24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4"/>
                          <w:szCs w:val="22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sz w:val="24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4"/>
                          <w:szCs w:val="22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sz w:val="24"/>
                          <w:szCs w:val="22"/>
                        </w:rPr>
                      </m:ctrlPr>
                    </m:sub>
                  </m:sSub>
                  <m:ctrlPr>
                    <w:rPr>
                      <w:rFonts w:hint="default" w:ascii="Cambria Math" w:hAnsi="Cambria Math"/>
                      <w:sz w:val="24"/>
                      <w:szCs w:val="22"/>
                    </w:rPr>
                  </m:ctrlPr>
                </m:e>
              </m:nary>
              <m:sSub>
                <m:sSubPr>
                  <m:ctrlPr>
                    <w:rPr>
                      <w:rFonts w:hint="default"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2"/>
                    </w:rPr>
                    <m:t>α</m:t>
                  </m:r>
                  <m:ctrlPr>
                    <w:rPr>
                      <w:rFonts w:hint="default" w:ascii="Cambria Math" w:hAnsi="Cambria Math"/>
                      <w:sz w:val="24"/>
                      <w:szCs w:val="2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2"/>
                    </w:rPr>
                    <m:t>i</m:t>
                  </m:r>
                  <m:ctrlPr>
                    <w:rPr>
                      <w:rFonts w:hint="default" w:ascii="Cambria Math" w:hAnsi="Cambria Math"/>
                      <w:sz w:val="24"/>
                      <w:szCs w:val="22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szCs w:val="22"/>
                </w:rPr>
                <m:t>=0</m:t>
              </m:r>
              <m:ctrlPr>
                <w:rPr>
                  <w:rFonts w:hint="default" w:ascii="Cambria Math" w:hAnsi="Cambria Math"/>
                  <w:sz w:val="24"/>
                  <w:szCs w:val="22"/>
                </w:rPr>
              </m:ctrlPr>
            </m:e>
          </m:mr>
        </m:m>
      </m:oMath>
    </w:p>
    <w:p w14:paraId="0B1711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其中C为正则化参数，这是基于简单的SVM理论。而根据这样一个RBF的高斯核函数，我们可以进行非线性的软间隔SVM分类器，这也就是3.3中实现的一个分类情况。</w:t>
      </w:r>
    </w:p>
    <w:p w14:paraId="776A5AF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而如果我们使用SMO来优化这个模型，让其在计算机中能够更快地进行计算，就可以</w:t>
      </w:r>
      <w:r>
        <w:t>通过分解QP问题来解决SVM的优化问题。每次迭代选择两个拉格朗日乘子（</w:t>
      </w:r>
      <m:oMath>
        <m:sSub>
          <m:sSubPr>
            <m:ctrlPr>
              <w:rPr>
                <w:rFonts w:hint="default"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</m:oMath>
      <w:r>
        <w:t>和</w:t>
      </w:r>
      <m:oMath>
        <m:sSub>
          <m:sSubPr>
            <m:ctrlPr>
              <w:rPr>
                <w:rFonts w:hint="default"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</m:oMath>
      <w:r>
        <w:t xml:space="preserve">）进行优化，而保持其他乘子不变，以满足线性等式约束 </w:t>
      </w:r>
      <m:oMath>
        <m:nary>
          <m:naryPr>
            <m:chr m:val="∑"/>
            <m:limLoc m:val="undOvr"/>
            <m:ctrlPr>
              <w:rPr>
                <w:rFonts w:hint="default"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/>
              </w:rPr>
              <m:t>i=1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/>
              </w:rPr>
              <m:t>N</m:t>
            </m:r>
            <m:ctrlPr>
              <w:rPr>
                <w:rFonts w:ascii="Cambria Math" w:hAnsi="Cambria Math"/>
              </w:rPr>
            </m:ctrlPr>
          </m:sup>
          <m:e>
            <m:sSub>
              <m:sSubPr>
                <m:ctrlPr>
                  <w:rPr>
                    <w:rFonts w:hint="default"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y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hint="default" w:ascii="Cambria Math" w:hAnsi="Cambria Math"/>
              </w:rPr>
            </m:ctrlPr>
          </m:e>
        </m:nary>
        <m:sSub>
          <m:sSubPr>
            <m:ctrlPr>
              <w:rPr>
                <w:rFonts w:hint="default"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</w:rPr>
              <m:t>α</m:t>
            </m:r>
            <m:ctrlPr>
              <w:rPr>
                <w:rFonts w:hint="default"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</w:rPr>
              <m:t>i</m:t>
            </m:r>
            <m:ctrlPr>
              <w:rPr>
                <w:rFonts w:hint="default" w:ascii="Cambria Math" w:hAnsi="Cambria Math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</w:rPr>
          <m:t>=0</m:t>
        </m:r>
      </m:oMath>
      <w:r>
        <w:t>。</w:t>
      </w:r>
      <w:r>
        <w:rPr>
          <w:rFonts w:hint="eastAsia"/>
          <w:lang w:val="en-US" w:eastAsia="zh-CN"/>
        </w:rPr>
        <w:t>如此，我们就可以更新我们的参数：</w:t>
      </w:r>
    </w:p>
    <w:p w14:paraId="7FFE4368">
      <w:pPr>
        <w:bidi w:val="0"/>
        <w:rPr>
          <w:rFonts w:hint="default"/>
        </w:rPr>
      </w:pPr>
      <m:oMathPara>
        <m:oMath>
          <m:m>
            <m:mPr>
              <m:mcs>
                <m:mc>
                  <m:mcPr>
                    <m:count m:val="2"/>
                    <m:mcJc m:val="left"/>
                  </m:mcPr>
                </m:mc>
              </m:mcs>
              <m:plcHide m:val="1"/>
              <m:ctrlPr>
                <w:rPr>
                  <w:rFonts w:hint="default" w:ascii="Cambria Math" w:hAnsi="Cambria Math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η</m:t>
                </m:r>
                <m:ctrlPr>
                  <w:rPr>
                    <w:rFonts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=K(</m:t>
                </m:r>
                <m:sSub>
                  <m:sSubPr>
                    <m:ctrlPr>
                      <w:rPr>
                        <w:rFonts w:hint="default"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hint="default"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)+K(</m:t>
                </m:r>
                <m:sSub>
                  <m:sSubPr>
                    <m:ctrlPr>
                      <w:rPr>
                        <w:rFonts w:hint="default"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hint="default"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)−2K(</m:t>
                </m:r>
                <m:sSub>
                  <m:sSubPr>
                    <m:ctrlPr>
                      <w:rPr>
                        <w:rFonts w:hint="default"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hint="default"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)</m:t>
                </m:r>
                <m:ctrlPr>
                  <w:rPr>
                    <w:rFonts w:hint="default" w:ascii="Cambria Math" w:hAnsi="Cambria Math"/>
                  </w:rPr>
                </m:ctrlPr>
              </m:e>
            </m:mr>
            <m:mr>
              <m:e>
                <m:sSubSup>
                  <m:sSubSupPr>
                    <m:ctrlPr>
                      <w:rPr>
                        <w:rFonts w:hint="default"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α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new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bSup>
                <m:ctrlPr>
                  <w:rPr>
                    <w:rFonts w:hint="default"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hint="default"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α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j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+</m:t>
                </m:r>
                <m:f>
                  <m:fPr>
                    <m:ctrlPr>
                      <w:rPr>
                        <w:rFonts w:hint="default"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hint="default"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−</m:t>
                    </m:r>
                    <m:sSub>
                      <m:sSubPr>
                        <m:ctrlPr>
                          <w:rPr>
                            <w:rFonts w:hint="default"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)</m:t>
                    </m:r>
                    <m:ctrlPr>
                      <w:rPr>
                        <w:rFonts w:hint="default" w:ascii="Cambria Math" w:hAnsi="Cambria Math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η</m:t>
                    </m:r>
                    <m:ctrlPr>
                      <w:rPr>
                        <w:rFonts w:hint="default" w:ascii="Cambria Math" w:hAnsi="Cambria Math"/>
                      </w:rPr>
                    </m:ctrlPr>
                  </m:den>
                </m:f>
                <m:ctrlPr>
                  <w:rPr>
                    <w:rFonts w:hint="default" w:ascii="Cambria Math" w:hAnsi="Cambria Math"/>
                  </w:rPr>
                </m:ctrlPr>
              </m:e>
            </m:mr>
            <m:mr>
              <m:e>
                <m:sSubSup>
                  <m:sSubSupPr>
                    <m:ctrlPr>
                      <w:rPr>
                        <w:rFonts w:hint="default"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α</m:t>
                    </m:r>
                    <m:ctrlPr>
                      <w:rPr>
                        <w:rFonts w:hint="default"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i</m:t>
                    </m:r>
                    <m:ctrlPr>
                      <w:rPr>
                        <w:rFonts w:hint="default" w:ascii="Cambria Math" w:hAnsi="Cambria Math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new</m:t>
                    </m:r>
                    <m:ctrlPr>
                      <w:rPr>
                        <w:rFonts w:hint="default" w:ascii="Cambria Math" w:hAnsi="Cambria Math"/>
                      </w:rPr>
                    </m:ctrlPr>
                  </m:sup>
                </m:sSubSup>
                <m:ctrlPr>
                  <w:rPr>
                    <w:rFonts w:hint="default" w:ascii="Cambria Math" w:hAnsi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hint="default"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α</m:t>
                    </m:r>
                    <m:ctrlPr>
                      <w:rPr>
                        <w:rFonts w:hint="default"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i</m:t>
                    </m:r>
                    <m:ctrlPr>
                      <w:rPr>
                        <w:rFonts w:hint="default" w:ascii="Cambria Math" w:hAnsi="Cambria Math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+s</m:t>
                </m:r>
                <m:d>
                  <m:dPr>
                    <m:ctrlPr>
                      <w:rPr>
                        <w:rFonts w:hint="default"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hint="default"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−</m:t>
                    </m:r>
                    <m:sSubSup>
                      <m:sSubSupPr>
                        <m:ctrlPr>
                          <w:rPr>
                            <w:rFonts w:hint="default"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α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j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new,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bSup>
                    <m:ctrlPr>
                      <w:rPr>
                        <w:rFonts w:hint="default" w:ascii="Cambria Math" w:hAnsi="Cambria Math"/>
                      </w:rPr>
                    </m:ctrlPr>
                  </m:e>
                </m:d>
                <m:ctrlPr>
                  <w:rPr>
                    <w:rFonts w:hint="default" w:ascii="Cambria Math" w:hAnsi="Cambria Math"/>
                  </w:rPr>
                </m:ctrlPr>
              </m:e>
            </m:mr>
          </m:m>
        </m:oMath>
      </m:oMathPara>
    </w:p>
    <w:p w14:paraId="11A38309">
      <w:pPr>
        <w:bidi w:val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</w:pPr>
    </w:p>
    <w:p w14:paraId="5F79353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这里的E是误差，也就是根据误差去更新拉格朗日乘子，从而达到优化的目的。</w:t>
      </w:r>
    </w:p>
    <w:p w14:paraId="621F370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而使用</w:t>
      </w:r>
      <w:r>
        <w:t>随机梯度下降（SGD）通过随机选择样本更新权重向量w ，解决SVM的原始形式优化问题。</w:t>
      </w:r>
      <w:r>
        <w:rPr>
          <w:rFonts w:hint="eastAsia"/>
          <w:lang w:val="en-US" w:eastAsia="zh-CN"/>
        </w:rPr>
        <w:t>SVM的损失函数在论文中表述为</w:t>
      </w:r>
    </w:p>
    <w:p w14:paraId="6118EB49">
      <w:pPr>
        <w:bidi w:val="0"/>
        <w:rPr>
          <w:rFonts w:hint="default" w:ascii="Consolas" w:hAnsi="Consolas" w:eastAsia="Consolas" w:cs="Consolas"/>
          <w:i w:val="0"/>
          <w:iCs w:val="0"/>
          <w:caps w:val="0"/>
          <w:spacing w:val="0"/>
          <w:sz w:val="14"/>
          <w:szCs w:val="14"/>
          <w:shd w:val="clear" w:fill="FFFFFF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sz w:val="28"/>
              <w:szCs w:val="24"/>
            </w:rPr>
            <m:t>λ‖w</m:t>
          </m:r>
          <m:sSup>
            <m:sSupPr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/>
                  <w:sz w:val="28"/>
                  <w:szCs w:val="24"/>
                </w:rPr>
                <m:t>‖</m:t>
              </m:r>
              <m:ctrlPr>
                <w:rPr>
                  <w:rFonts w:ascii="Cambria Math" w:hAnsi="Cambria Math"/>
                  <w:sz w:val="28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/>
                  <w:sz w:val="28"/>
                  <w:szCs w:val="24"/>
                </w:rPr>
                <m:t>2</m:t>
              </m:r>
              <m:ctrlPr>
                <w:rPr>
                  <w:rFonts w:ascii="Cambria Math" w:hAnsi="Cambria Math"/>
                  <w:sz w:val="28"/>
                  <w:szCs w:val="24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/>
              <w:sz w:val="28"/>
              <w:szCs w:val="24"/>
            </w:rPr>
            <m:t>+</m:t>
          </m:r>
          <m:func>
            <m:funcPr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hint="default" w:ascii="Cambria Math" w:hAnsi="Cambria Math"/>
                  <w:sz w:val="28"/>
                  <w:szCs w:val="24"/>
                </w:rPr>
                <m:t>max</m:t>
              </m:r>
              <m:ctrlPr>
                <w:rPr>
                  <w:rFonts w:ascii="Cambria Math" w:hAnsi="Cambria Math"/>
                  <w:sz w:val="28"/>
                  <w:szCs w:val="24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4"/>
                    </w:rPr>
                    <m:t>0,1−y</m:t>
                  </m:r>
                  <m:sSup>
                    <m:sSupPr>
                      <m:ctrl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28"/>
                          <w:szCs w:val="24"/>
                        </w:rPr>
                        <m:t>⊤</m:t>
                      </m:r>
                      <m:ctrlPr>
                        <w:rPr>
                          <w:rFonts w:ascii="Cambria Math" w:hAnsi="Cambria Math"/>
                          <w:sz w:val="28"/>
                          <w:szCs w:val="24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8"/>
                      <w:szCs w:val="24"/>
                    </w:rPr>
                    <m:t>ϕ(x)</m:t>
                  </m:r>
                  <m:ctrlPr>
                    <w:rPr>
                      <w:rFonts w:hint="default" w:ascii="Cambria Math" w:hAnsi="Cambria Math"/>
                      <w:sz w:val="28"/>
                      <w:szCs w:val="24"/>
                    </w:rPr>
                  </m:ctrlPr>
                </m:e>
              </m:d>
              <m:ctrlPr>
                <w:rPr>
                  <w:rFonts w:hint="default" w:ascii="Cambria Math" w:hAnsi="Cambria Math"/>
                  <w:sz w:val="28"/>
                  <w:szCs w:val="24"/>
                </w:rPr>
              </m:ctrlPr>
            </m:e>
          </m:func>
        </m:oMath>
      </m:oMathPara>
    </w:p>
    <w:p w14:paraId="2BE2D822"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同时也通过</w:t>
      </w:r>
      <w:r>
        <w:t>SGD</w:t>
      </w:r>
      <w:r>
        <w:rPr>
          <w:rFonts w:hint="eastAsia"/>
          <w:lang w:val="en-US" w:eastAsia="zh-CN"/>
        </w:rPr>
        <w:t>进行</w:t>
      </w:r>
      <w:r>
        <w:t>权重更新规则</w:t>
      </w:r>
      <w:r>
        <w:rPr>
          <w:rFonts w:hint="eastAsia"/>
          <w:lang w:val="en-US" w:eastAsia="zh-CN"/>
        </w:rPr>
        <w:t>:</w:t>
      </w:r>
    </w:p>
    <w:p w14:paraId="0FCC7132">
      <w:pPr>
        <w:bidi w:val="0"/>
        <w:rPr>
          <w:rFonts w:hint="default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</w:rPr>
            <m:t>w←w−γ</m:t>
          </m:r>
          <m:d>
            <m:dPr>
              <m:begChr m:val="{"/>
              <m:endChr m:val=""/>
              <m:ctrlPr>
                <w:rPr>
                  <w:rFonts w:hint="default"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plcHide m:val="1"/>
                  <m:ctrlPr>
                    <w:rPr>
                      <w:rFonts w:hint="default"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λw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若</m:t>
                    </m:r>
                    <m:sSub>
                      <m:sSubPr>
                        <m:ctrlPr>
                          <w:rPr>
                            <w:rFonts w:hint="default"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sSup>
                      <m:sSupPr>
                        <m:ctrlPr>
                          <w:rPr>
                            <w:rFonts w:hint="default"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w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⊤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p>
                    </m:sSup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ϕ(</m:t>
                    </m:r>
                    <m:sSub>
                      <m:sSubPr>
                        <m:ctrlPr>
                          <w:rPr>
                            <w:rFonts w:hint="default"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)&gt;1</m:t>
                    </m:r>
                    <m:ctrlPr>
                      <w:rPr>
                        <w:rFonts w:hint="default" w:ascii="Cambria Math" w:hAnsi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λw−</m:t>
                    </m:r>
                    <m:sSub>
                      <m:sSubPr>
                        <m:ctrlPr>
                          <w:rPr>
                            <w:rFonts w:hint="default"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ϕ(</m:t>
                    </m:r>
                    <m:sSub>
                      <m:sSubPr>
                        <m:ctrlPr>
                          <w:rPr>
                            <w:rFonts w:hint="default"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)</m:t>
                    </m:r>
                    <m:ctrlPr>
                      <w:rPr>
                        <w:rFonts w:hint="default" w:ascii="Cambria Math" w:hAnsi="Cambria Math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</w:rPr>
                      <m:t>否则</m:t>
                    </m:r>
                    <m:ctrlPr>
                      <w:rPr>
                        <w:rFonts w:hint="default" w:ascii="Cambria Math" w:hAnsi="Cambria Math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</w:rPr>
              </m:ctrlPr>
            </m:e>
          </m:d>
        </m:oMath>
      </m:oMathPara>
    </w:p>
    <w:p w14:paraId="59F693C3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在这里</w:t>
      </w:r>
      <m:oMath>
        <m:r>
          <m:rPr>
            <m:sty m:val="p"/>
          </m:rPr>
          <w:rPr>
            <w:rFonts w:hint="default" w:ascii="Cambria Math" w:hAnsi="Cambria Math"/>
          </w:rPr>
          <m:t>γ</m:t>
        </m:r>
      </m:oMath>
      <w:r>
        <m:rPr/>
        <w:rPr>
          <w:rFonts w:hint="eastAsia"/>
          <w:lang w:val="en-US" w:eastAsia="zh-CN"/>
        </w:rPr>
        <w:t>是学习率，一个常在神经网络中出现的参数，这里决定了参数</w:t>
      </w:r>
      <m:oMath>
        <m:r>
          <m:rPr>
            <m:sty m:val="p"/>
          </m:rPr>
          <w:rPr>
            <w:rFonts w:hint="default" w:ascii="Cambria Math" w:hAnsi="Cambria Math"/>
          </w:rPr>
          <m:t>w</m:t>
        </m:r>
      </m:oMath>
      <w:r>
        <m:rPr/>
        <w:rPr>
          <w:rFonts w:hint="eastAsia"/>
          <w:lang w:val="en-US" w:eastAsia="zh-CN"/>
        </w:rPr>
        <w:t>受影响的程度。</w:t>
      </w:r>
      <w:r>
        <w:t>SGD通过随机选择样本进行梯度更新，</w:t>
      </w:r>
      <w:r>
        <w:rPr>
          <w:rFonts w:hint="eastAsia"/>
          <w:lang w:val="en-US" w:eastAsia="zh-CN"/>
        </w:rPr>
        <w:t>在</w:t>
      </w:r>
      <w:r>
        <w:t>牺牲部分精度</w:t>
      </w:r>
      <w:r>
        <w:rPr>
          <w:rFonts w:hint="eastAsia"/>
          <w:lang w:val="en-US" w:eastAsia="zh-CN"/>
        </w:rPr>
        <w:t>的前提下</w:t>
      </w:r>
      <w:r>
        <w:t>降低了计算成本，适合大规模数据集</w:t>
      </w:r>
      <w:r>
        <w:rPr>
          <w:rFonts w:hint="eastAsia"/>
          <w:lang w:eastAsia="zh-CN"/>
        </w:rPr>
        <w:t>。</w:t>
      </w:r>
    </w:p>
    <w:p w14:paraId="438767C0">
      <w:pPr>
        <w:bidi w:val="0"/>
        <m:rPr/>
        <w:rPr>
          <w:rFonts w:hint="default" w:eastAsia="宋体"/>
          <w:lang w:val="en-US" w:eastAsia="zh-CN"/>
        </w:rPr>
      </w:pPr>
    </w:p>
    <w:p w14:paraId="04E7A051">
      <w:pPr>
        <w:bidi w:val="0"/>
        <m:rPr/>
        <w:rPr>
          <w:rFonts w:hint="default"/>
          <w:b/>
          <w:bCs/>
          <w:lang w:val="en-US" w:eastAsia="zh-CN"/>
        </w:rPr>
      </w:pPr>
    </w:p>
    <w:p w14:paraId="5C180A10">
      <w:pPr>
        <w:bidi w:val="0"/>
        <m:rPr/>
        <w:rPr>
          <w:rFonts w:hint="default" w:hAnsi="Cambria Math" w:eastAsia="宋体" w:cstheme="minorBidi"/>
          <w:i w:val="0"/>
          <w:kern w:val="2"/>
          <w:sz w:val="24"/>
          <w:szCs w:val="22"/>
          <w:lang w:val="en-US" w:eastAsia="zh-CN" w:bidi="ar-SA"/>
        </w:rPr>
      </w:pPr>
    </w:p>
    <w:p w14:paraId="374392A1">
      <w:pPr>
        <w:pStyle w:val="13"/>
        <w:keepNext w:val="0"/>
        <w:keepLines w:val="0"/>
        <w:widowControl/>
        <w:suppressLineNumbers w:val="0"/>
        <m:rPr/>
        <w:rPr>
          <w:rFonts w:hint="default" w:hAnsi="Cambria Math" w:cstheme="minorBidi"/>
          <w:i w:val="0"/>
          <w:kern w:val="0"/>
          <w:sz w:val="24"/>
          <w:szCs w:val="22"/>
          <w:lang w:val="en-US" w:eastAsia="zh-CN" w:bidi="ar"/>
        </w:rPr>
      </w:pPr>
    </w:p>
    <w:p w14:paraId="7DD88D76">
      <w:pPr>
        <w:pStyle w:val="1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</w:p>
    <w:p w14:paraId="5BD47164">
      <w:pPr>
        <w:bidi w:val="0"/>
        <w:rPr>
          <w:rFonts w:hint="default"/>
          <w:lang w:val="en-US" w:eastAsia="zh-CN"/>
        </w:rPr>
      </w:pPr>
    </w:p>
    <w:p w14:paraId="24E2FFA5">
      <w:pPr>
        <w:bidi w:val="0"/>
      </w:pPr>
    </w:p>
    <w:p w14:paraId="5B1AC482">
      <w:pPr>
        <w:bidi w:val="0"/>
      </w:pPr>
    </w:p>
    <w:p w14:paraId="0D306831">
      <w:pPr>
        <w:rPr>
          <w:rFonts w:hint="default"/>
          <w:lang w:val="en-US" w:eastAsia="zh-CN"/>
        </w:rPr>
      </w:pPr>
    </w:p>
    <w:p w14:paraId="115EE2FF">
      <w:pPr>
        <w:widowControl/>
        <w:ind w:left="0" w:leftChars="0" w:firstLine="0" w:firstLineChars="0"/>
        <w:jc w:val="left"/>
        <w:rPr>
          <w:rFonts w:hint="eastAsia" w:ascii="仿宋_GB2312" w:eastAsia="仿宋_GB2312"/>
          <w:sz w:val="32"/>
          <w:szCs w:val="32"/>
          <w:lang w:eastAsia="zh-CN"/>
        </w:rPr>
      </w:pPr>
    </w:p>
    <w:p w14:paraId="102183A4">
      <w:pPr>
        <w:widowControl/>
        <w:jc w:val="left"/>
        <w:rPr>
          <w:rFonts w:hint="eastAsia" w:ascii="仿宋_GB2312" w:eastAsia="仿宋_GB2312"/>
          <w:sz w:val="32"/>
          <w:szCs w:val="32"/>
          <w:lang w:eastAsia="zh-CN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小标宋_GBK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B0E6CC">
    <w:pPr>
      <w:pStyle w:val="8"/>
      <w:framePr w:wrap="around" w:vAnchor="text" w:hAnchor="margin" w:xAlign="center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separate"/>
    </w:r>
    <w:r>
      <w:rPr>
        <w:rStyle w:val="18"/>
      </w:rPr>
      <w:t>24</w:t>
    </w:r>
    <w:r>
      <w:rPr>
        <w:rStyle w:val="18"/>
      </w:rPr>
      <w:fldChar w:fldCharType="end"/>
    </w:r>
  </w:p>
  <w:p w14:paraId="2C770BEE">
    <w:pPr>
      <w:pStyle w:val="8"/>
      <w:rPr>
        <w:szCs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06D6B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5B8038"/>
    <w:multiLevelType w:val="singleLevel"/>
    <w:tmpl w:val="685B8038"/>
    <w:lvl w:ilvl="0" w:tentative="0">
      <w:start w:val="1"/>
      <w:numFmt w:val="chineseCount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45F4DED"/>
    <w:rsid w:val="056106F1"/>
    <w:rsid w:val="1F8706C4"/>
    <w:rsid w:val="4723347D"/>
    <w:rsid w:val="5F971827"/>
    <w:rsid w:val="60EC5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spacing w:line="360" w:lineRule="auto"/>
      <w:ind w:firstLine="964" w:firstLineChars="200"/>
      <w:jc w:val="left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 w:eastAsia="黑体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0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imes New Roman" w:hAnsi="Times New Roman" w:eastAsia="黑体"/>
      <w:sz w:val="28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  <w:outlineLvl w:val="3"/>
    </w:pPr>
    <w:rPr>
      <w:rFonts w:hint="default" w:ascii="Times New Roman" w:hAnsi="Times New Roman" w:cs="宋体"/>
      <w:b/>
      <w:bCs/>
      <w:kern w:val="0"/>
      <w:szCs w:val="24"/>
      <w:lang w:bidi="ar"/>
    </w:rPr>
  </w:style>
  <w:style w:type="character" w:default="1" w:styleId="16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jc w:val="center"/>
    </w:pPr>
    <w:rPr>
      <w:rFonts w:ascii="宋体" w:hAnsi="宋体" w:eastAsia="宋体"/>
      <w:sz w:val="21"/>
    </w:r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footer"/>
    <w:basedOn w:val="1"/>
    <w:link w:val="24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9">
    <w:name w:val="header"/>
    <w:basedOn w:val="1"/>
    <w:link w:val="2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page number"/>
    <w:qFormat/>
    <w:uiPriority w:val="0"/>
  </w:style>
  <w:style w:type="character" w:styleId="19">
    <w:name w:val="FollowedHyperlink"/>
    <w:basedOn w:val="16"/>
    <w:semiHidden/>
    <w:unhideWhenUsed/>
    <w:uiPriority w:val="99"/>
    <w:rPr>
      <w:color w:val="800080"/>
      <w:u w:val="single"/>
    </w:rPr>
  </w:style>
  <w:style w:type="character" w:styleId="20">
    <w:name w:val="Emphasis"/>
    <w:basedOn w:val="16"/>
    <w:qFormat/>
    <w:uiPriority w:val="20"/>
    <w:rPr>
      <w:i/>
    </w:rPr>
  </w:style>
  <w:style w:type="character" w:styleId="21">
    <w:name w:val="Hyperlink"/>
    <w:basedOn w:val="16"/>
    <w:unhideWhenUsed/>
    <w:qFormat/>
    <w:uiPriority w:val="99"/>
    <w:rPr>
      <w:color w:val="0000FF"/>
      <w:u w:val="single"/>
    </w:rPr>
  </w:style>
  <w:style w:type="character" w:styleId="22">
    <w:name w:val="HTML Code"/>
    <w:basedOn w:val="16"/>
    <w:unhideWhenUsed/>
    <w:qFormat/>
    <w:uiPriority w:val="99"/>
    <w:rPr>
      <w:rFonts w:ascii="Courier New" w:hAnsi="Courier New"/>
      <w:sz w:val="20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页脚 字符"/>
    <w:basedOn w:val="16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5">
    <w:name w:val="页眉 字符"/>
    <w:basedOn w:val="16"/>
    <w:link w:val="9"/>
    <w:qFormat/>
    <w:uiPriority w:val="0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4442</Words>
  <Characters>5528</Characters>
  <Lines>11</Lines>
  <Paragraphs>3</Paragraphs>
  <TotalTime>23</TotalTime>
  <ScaleCrop>false</ScaleCrop>
  <LinksUpToDate>false</LinksUpToDate>
  <CharactersWithSpaces>5734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2025-05-15T01:14:00Z</dcterms:created>
  <dc:creator>Admin</dc:creator>
  <cp:lastModifiedBy>兮</cp:lastModifiedBy>
  <dcterms:modified xsi:type="dcterms:W3CDTF">2025-06-26T10:16:14Z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2024-05-23T02:39:25Z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624607ab-ba5f-4125-88c3-90df05300edd</vt:lpwstr>
  </property>
  <property fmtid="{D5CDD505-2E9C-101B-9397-08002B2CF9AE}" pid="7" name="MSIP_Label_defa4170-0d19-0005-0004-bc88714345d2_ActionId">
    <vt:lpwstr>13431892-e3eb-46c6-8929-44dd18915269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TemplateDocerSaveRecord">
    <vt:lpwstr>eyJoZGlkIjoiZWYxOTAzMWM2MTg0YTFhZTQxYjNkZTdiNDA4MzUwNzgiLCJ1c2VySWQiOiIzNzkyMjYwNTkifQ==</vt:lpwstr>
  </property>
  <property fmtid="{D5CDD505-2E9C-101B-9397-08002B2CF9AE}" pid="10" name="KSOProductBuildVer">
    <vt:lpwstr>2052-12.1.0.21541</vt:lpwstr>
  </property>
  <property fmtid="{D5CDD505-2E9C-101B-9397-08002B2CF9AE}" pid="11" name="ICV">
    <vt:lpwstr>388AEAE305344F5EAADE8C2673C1D19A_13</vt:lpwstr>
  </property>
</Properties>
</file>