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0"/>
        <w:jc w:val="left"/>
      </w:pPr>
      <w:r>
        <w:rPr>
          <w:rFonts w:ascii="Arial" w:cs="Arial" w:eastAsia="Arial" w:hAnsi="Arial"/>
          <w:b/>
          <w:bCs/>
          <w:i w:val="false"/>
          <w:iCs w:val="false"/>
          <w:color w:val="FA4616"/>
          <w:sz w:val="56"/>
          <w:szCs w:val="56"/>
        </w:rPr>
        <w:t xml:space="preserve">IDEX Corporation</w:t>
      </w:r>
    </w:p>
    <w:p>
      <w:pPr>
        <w:spacing w:after="120" w:before="40"/>
        <w:jc w:val="left"/>
      </w:pPr>
      <w:r>
        <w:rPr>
          <w:rFonts w:ascii="Arial" w:cs="Arial" w:eastAsia="Arial" w:hAnsi="Arial"/>
          <w:b/>
          <w:bCs/>
          <w:i w:val="false"/>
          <w:iCs w:val="false"/>
          <w:color w:val="333333"/>
          <w:sz w:val="44"/>
          <w:szCs w:val="44"/>
        </w:rPr>
        <w:t xml:space="preserve">Security Assessment</w:t>
      </w:r>
    </w:p>
    <w:p>
      <w:pPr>
        <w:spacing w:after="80" w:before="40"/>
        <w:jc w:val="left"/>
      </w:pPr>
      <w:r>
        <w:rPr>
          <w:rFonts w:ascii="Arial" w:cs="Arial" w:eastAsia="Arial" w:hAnsi="Arial"/>
          <w:b w:val="false"/>
          <w:bCs w:val="false"/>
          <w:i/>
          <w:iCs/>
          <w:color w:val="666666"/>
          <w:sz w:val="20"/>
          <w:szCs w:val="20"/>
        </w:rPr>
        <w:t xml:space="preserve">March 2026 · Report Period: February 27 – March 9, 2026</w:t>
      </w:r>
    </w:p>
    <w:p>
      <w:pPr>
        <w:spacing w:after="80" w:before="40"/>
        <w:jc w:val="left"/>
      </w:pPr>
      <w:r>
        <w:rPr>
          <w:rFonts w:ascii="Arial" w:cs="Arial" w:eastAsia="Arial" w:hAnsi="Arial"/>
          <w:b w:val="false"/>
          <w:bCs w:val="false"/>
          <w:i w:val="false"/>
          <w:iCs w:val="false"/>
          <w:color w:val="666666"/>
          <w:sz w:val="20"/>
          <w:szCs w:val="20"/>
        </w:rPr>
        <w:t xml:space="preserve">Prepared by: </w:t>
      </w:r>
      <w:r>
        <w:rPr>
          <w:rFonts w:ascii="Arial" w:cs="Arial" w:eastAsia="Arial" w:hAnsi="Arial"/>
          <w:b/>
          <w:bCs/>
          <w:i w:val="false"/>
          <w:iCs w:val="false"/>
          <w:color w:val="666666"/>
          <w:sz w:val="20"/>
          <w:szCs w:val="20"/>
        </w:rPr>
        <w:t xml:space="preserve">John Shelest</w:t>
      </w:r>
      <w:r>
        <w:rPr>
          <w:rFonts w:ascii="Arial" w:cs="Arial" w:eastAsia="Arial" w:hAnsi="Arial"/>
          <w:b w:val="false"/>
          <w:bCs w:val="false"/>
          <w:i w:val="false"/>
          <w:iCs w:val="false"/>
          <w:color w:val="666666"/>
          <w:sz w:val="20"/>
          <w:szCs w:val="20"/>
        </w:rPr>
        <w:t xml:space="preserve"> | Palo Alto Networks Solutions Consultant</w:t>
      </w:r>
    </w:p>
    <w:p>
      <w:pPr>
        <w:spacing w:after="280" w:before="40"/>
        <w:jc w:val="left"/>
      </w:pPr>
      <w:r>
        <w:rPr>
          <w:rFonts w:ascii="Arial" w:cs="Arial" w:eastAsia="Arial" w:hAnsi="Arial"/>
          <w:b w:val="false"/>
          <w:bCs w:val="false"/>
          <w:i w:val="false"/>
          <w:iCs w:val="false"/>
          <w:color w:val="666666"/>
          <w:sz w:val="18"/>
          <w:szCs w:val="18"/>
        </w:rPr>
        <w:t xml:space="preserve">Source Data: Panorama PAN-OS 11.1.10-h1 · 80+ Managed Device Groups · 104,358 Threat Log Rows</w:t>
      </w:r>
    </w:p>
    <w:p>
      <w:r>
        <w:br w:type="page"/>
      </w:r>
    </w:p>
    <w:p>
      <w:pPr>
        <w:spacing w:after="80" w:before="160"/>
      </w:pPr>
      <w:r>
        <w:rPr>
          <w:rFonts w:ascii="Arial" w:cs="Arial" w:eastAsia="Arial" w:hAnsi="Arial"/>
          <w:b/>
          <w:bCs/>
          <w:i w:val="false"/>
          <w:iCs w:val="false"/>
          <w:color w:val="333333"/>
          <w:sz w:val="22"/>
          <w:szCs w:val="22"/>
        </w:rPr>
        <w:t xml:space="preserve">What This Report Means for IDEX Corporation</w:t>
      </w:r>
    </w:p>
    <w:p>
      <w:pPr>
        <w:spacing w:after="160" w:before="40"/>
        <w:jc w:val="left"/>
      </w:pPr>
      <w:r>
        <w:rPr>
          <w:rFonts w:ascii="Arial" w:cs="Arial" w:eastAsia="Arial" w:hAnsi="Arial"/>
          <w:b w:val="false"/>
          <w:bCs w:val="false"/>
          <w:i/>
          <w:iCs/>
          <w:color w:val="666666"/>
          <w:sz w:val="20"/>
          <w:szCs w:val="20"/>
        </w:rPr>
        <w:t xml:space="preserve">The short version — before you read the numbers</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tblGrid>
      <w:tr>
        <w:tc>
          <w:tcPr>
            <w:tcW w:type="dxa" w:w="800"/>
            <w:tcBorders>
              <w:top w:val="single" w:color="CCCCCC" w:sz="1"/>
              <w:left w:val="single" w:color="CCCCCC" w:sz="1"/>
              <w:bottom w:val="single" w:color="CCCCCC" w:sz="1"/>
              <w:right w:val="single" w:color="CCCCCC" w:sz="1"/>
            </w:tcBorders>
            <w:shd w:fill="CC0000" w:color="auto" w:val="clear"/>
            <w:tcMar>
              <w:top w:type="dxa" w:w="80"/>
              <w:left w:type="dxa" w:w="120"/>
              <w:bottom w:type="dxa" w:w="80"/>
              <w:right w:type="dxa" w:w="120"/>
            </w:tcMar>
          </w:tcPr>
          <w:p>
            <w:pPr>
              <w:spacing w:after="100" w:before="100"/>
              <w:jc w:val="center"/>
            </w:pPr>
            <w:r>
              <w:rPr>
                <w:rFonts w:ascii="Arial" w:cs="Arial" w:eastAsia="Arial" w:hAnsi="Arial"/>
                <w:b/>
                <w:bCs/>
                <w:i w:val="false"/>
                <w:iCs w:val="false"/>
                <w:color w:val="FFFFFF"/>
                <w:sz w:val="32"/>
                <w:szCs w:val="32"/>
              </w:rPr>
              <w:t xml:space="preserve">1</w:t>
            </w:r>
          </w:p>
        </w:tc>
        <w:tc>
          <w:tcPr>
            <w:tcW w:type="dxa" w:w="85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pPr>
              <w:spacing w:after="40" w:before="80"/>
            </w:pPr>
            <w:r>
              <w:rPr>
                <w:rFonts w:ascii="Arial" w:cs="Arial" w:eastAsia="Arial" w:hAnsi="Arial"/>
                <w:b/>
                <w:bCs/>
                <w:i w:val="false"/>
                <w:iCs w:val="false"/>
                <w:color w:val="CC0000"/>
                <w:sz w:val="20"/>
                <w:szCs w:val="20"/>
              </w:rPr>
              <w:t xml:space="preserve">You could have an active breach.</w:t>
            </w:r>
          </w:p>
          <w:p>
            <w:pPr>
              <w:spacing w:after="80" w:before="40"/>
            </w:pPr>
            <w:r>
              <w:rPr>
                <w:rFonts w:ascii="Arial" w:cs="Arial" w:eastAsia="Arial" w:hAnsi="Arial"/>
                <w:b w:val="false"/>
                <w:bCs w:val="false"/>
                <w:i w:val="false"/>
                <w:iCs w:val="false"/>
                <w:color w:val="333333"/>
                <w:sz w:val="18"/>
                <w:szCs w:val="18"/>
              </w:rPr>
              <w:t xml:space="preserve">A named IDEX Corporation employee account (idexna\bidservices) successfully connected to an external attacker server via an Apache Log4j exploit — one of the most dangerous vulnerabilities ever disclosed. This is a completed connection, not a blocked attempt. The CISO and Legal team need to know today: this may trigger breach notification obligations under GDPR or CCPA, and endpoint 10.100.10.201 requires immediate forensic investigation.</w:t>
            </w:r>
          </w:p>
        </w:tc>
      </w:tr>
    </w:tbl>
    <w:p>
      <w:pPr>
        <w:spacing w:after="120" w:before="0"/>
      </w:pPr>
      <w:r>
        <w:rPr>
          <w:rFonts w:ascii="Arial" w:cs="Arial" w:eastAsia="Arial" w:hAnsi="Arial"/>
          <w:b w:val="false"/>
          <w:bCs w:val="false"/>
          <w:i w:val="false"/>
          <w:iCs w:val="false"/>
          <w:color w:val="333333"/>
          <w:sz w:val="20"/>
          <w:szCs w:val="20"/>
        </w:rPr>
        <w:t xml:space="preserve"> </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tblGrid>
      <w:tr>
        <w:tc>
          <w:tcPr>
            <w:tcW w:type="dxa" w:w="800"/>
            <w:tcBorders>
              <w:top w:val="single" w:color="CCCCCC" w:sz="1"/>
              <w:left w:val="single" w:color="CCCCCC" w:sz="1"/>
              <w:bottom w:val="single" w:color="CCCCCC" w:sz="1"/>
              <w:right w:val="single" w:color="CCCCCC" w:sz="1"/>
            </w:tcBorders>
            <w:shd w:fill="CC0000" w:color="auto" w:val="clear"/>
            <w:tcMar>
              <w:top w:type="dxa" w:w="80"/>
              <w:left w:type="dxa" w:w="120"/>
              <w:bottom w:type="dxa" w:w="80"/>
              <w:right w:type="dxa" w:w="120"/>
            </w:tcMar>
          </w:tcPr>
          <w:p>
            <w:pPr>
              <w:spacing w:after="100" w:before="100"/>
              <w:jc w:val="center"/>
            </w:pPr>
            <w:r>
              <w:rPr>
                <w:rFonts w:ascii="Arial" w:cs="Arial" w:eastAsia="Arial" w:hAnsi="Arial"/>
                <w:b/>
                <w:bCs/>
                <w:i w:val="false"/>
                <w:iCs w:val="false"/>
                <w:color w:val="FFFFFF"/>
                <w:sz w:val="32"/>
                <w:szCs w:val="32"/>
              </w:rPr>
              <w:t xml:space="preserve">2</w:t>
            </w:r>
          </w:p>
        </w:tc>
        <w:tc>
          <w:tcPr>
            <w:tcW w:type="dxa" w:w="85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pPr>
              <w:spacing w:after="40" w:before="80"/>
            </w:pPr>
            <w:r>
              <w:rPr>
                <w:rFonts w:ascii="Arial" w:cs="Arial" w:eastAsia="Arial" w:hAnsi="Arial"/>
                <w:b/>
                <w:bCs/>
                <w:i w:val="false"/>
                <w:iCs w:val="false"/>
                <w:color w:val="CC0000"/>
                <w:sz w:val="20"/>
                <w:szCs w:val="20"/>
              </w:rPr>
              <w:t xml:space="preserve">Someone built fake IDEX Corporation infrastructure to target you specifically.</w:t>
            </w:r>
          </w:p>
          <w:p>
            <w:pPr>
              <w:spacing w:after="80" w:before="40"/>
            </w:pPr>
            <w:r>
              <w:rPr>
                <w:rFonts w:ascii="Arial" w:cs="Arial" w:eastAsia="Arial" w:hAnsi="Arial"/>
                <w:b w:val="false"/>
                <w:bCs w:val="false"/>
                <w:i w:val="false"/>
                <w:iCs w:val="false"/>
                <w:color w:val="333333"/>
                <w:sz w:val="18"/>
                <w:szCs w:val="18"/>
              </w:rPr>
              <w:t xml:space="preserve">The domain idexdmz.com was registered by an attacker using IDEX Corporation's own brand and internal naming conventions — 365 internal machines were resolving it. Generic malware doesn't do this. This is targeted, not opportunistic.</w:t>
            </w:r>
          </w:p>
        </w:tc>
      </w:tr>
    </w:tbl>
    <w:p>
      <w:pPr>
        <w:spacing w:after="120" w:before="0"/>
      </w:pPr>
      <w:r>
        <w:rPr>
          <w:rFonts w:ascii="Arial" w:cs="Arial" w:eastAsia="Arial" w:hAnsi="Arial"/>
          <w:b w:val="false"/>
          <w:bCs w:val="false"/>
          <w:i w:val="false"/>
          <w:iCs w:val="false"/>
          <w:color w:val="333333"/>
          <w:sz w:val="20"/>
          <w:szCs w:val="20"/>
        </w:rPr>
        <w:t xml:space="preserve"> </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tblGrid>
      <w:tr>
        <w:tc>
          <w:tcPr>
            <w:tcW w:type="dxa" w:w="800"/>
            <w:tcBorders>
              <w:top w:val="single" w:color="CCCCCC" w:sz="1"/>
              <w:left w:val="single" w:color="CCCCCC" w:sz="1"/>
              <w:bottom w:val="single" w:color="CCCCCC" w:sz="1"/>
              <w:right w:val="single" w:color="CCCCCC" w:sz="1"/>
            </w:tcBorders>
            <w:shd w:fill="CC0000" w:color="auto" w:val="clear"/>
            <w:tcMar>
              <w:top w:type="dxa" w:w="80"/>
              <w:left w:type="dxa" w:w="120"/>
              <w:bottom w:type="dxa" w:w="80"/>
              <w:right w:type="dxa" w:w="120"/>
            </w:tcMar>
          </w:tcPr>
          <w:p>
            <w:pPr>
              <w:spacing w:after="100" w:before="100"/>
              <w:jc w:val="center"/>
            </w:pPr>
            <w:r>
              <w:rPr>
                <w:rFonts w:ascii="Arial" w:cs="Arial" w:eastAsia="Arial" w:hAnsi="Arial"/>
                <w:b/>
                <w:bCs/>
                <w:i w:val="false"/>
                <w:iCs w:val="false"/>
                <w:color w:val="FFFFFF"/>
                <w:sz w:val="32"/>
                <w:szCs w:val="32"/>
              </w:rPr>
              <w:t xml:space="preserve">3</w:t>
            </w:r>
          </w:p>
        </w:tc>
        <w:tc>
          <w:tcPr>
            <w:tcW w:type="dxa" w:w="85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pPr>
              <w:spacing w:after="40" w:before="80"/>
            </w:pPr>
            <w:r>
              <w:rPr>
                <w:rFonts w:ascii="Arial" w:cs="Arial" w:eastAsia="Arial" w:hAnsi="Arial"/>
                <w:b/>
                <w:bCs/>
                <w:i w:val="false"/>
                <w:iCs w:val="false"/>
                <w:color w:val="CC0000"/>
                <w:sz w:val="20"/>
                <w:szCs w:val="20"/>
              </w:rPr>
              <w:t xml:space="preserve">1,163 machines may have handed attackers your employees' passwords.</w:t>
            </w:r>
          </w:p>
          <w:p>
            <w:pPr>
              <w:spacing w:after="80" w:before="40"/>
            </w:pPr>
            <w:r>
              <w:rPr>
                <w:rFonts w:ascii="Arial" w:cs="Arial" w:eastAsia="Arial" w:hAnsi="Arial"/>
                <w:b w:val="false"/>
                <w:bCs w:val="false"/>
                <w:i w:val="false"/>
                <w:iCs w:val="false"/>
                <w:color w:val="333333"/>
                <w:sz w:val="18"/>
                <w:szCs w:val="18"/>
              </w:rPr>
              <w:t xml:space="preserve">okta-ema.com is a fake Okta login page designed to steal credentials. Okta is the single sign-on system controlling access to everything — email, finance, HR, VPN. One employee who entered their password gives an attacker silent access to every system behind it.</w:t>
            </w:r>
          </w:p>
        </w:tc>
      </w:tr>
    </w:tbl>
    <w:p>
      <w:pPr>
        <w:spacing w:after="120" w:before="0"/>
      </w:pPr>
      <w:r>
        <w:rPr>
          <w:rFonts w:ascii="Arial" w:cs="Arial" w:eastAsia="Arial" w:hAnsi="Arial"/>
          <w:b w:val="false"/>
          <w:bCs w:val="false"/>
          <w:i w:val="false"/>
          <w:iCs w:val="false"/>
          <w:color w:val="333333"/>
          <w:sz w:val="20"/>
          <w:szCs w:val="20"/>
        </w:rPr>
        <w:t xml:space="preserve"> </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tblGrid>
      <w:tr>
        <w:tc>
          <w:tcPr>
            <w:tcW w:type="dxa" w:w="800"/>
            <w:tcBorders>
              <w:top w:val="single" w:color="CCCCCC" w:sz="1"/>
              <w:left w:val="single" w:color="CCCCCC" w:sz="1"/>
              <w:bottom w:val="single" w:color="CCCCCC" w:sz="1"/>
              <w:right w:val="single" w:color="CCCCCC" w:sz="1"/>
            </w:tcBorders>
            <w:shd w:fill="E07800" w:color="auto" w:val="clear"/>
            <w:tcMar>
              <w:top w:type="dxa" w:w="80"/>
              <w:left w:type="dxa" w:w="120"/>
              <w:bottom w:type="dxa" w:w="80"/>
              <w:right w:type="dxa" w:w="120"/>
            </w:tcMar>
          </w:tcPr>
          <w:p>
            <w:pPr>
              <w:spacing w:after="100" w:before="100"/>
              <w:jc w:val="center"/>
            </w:pPr>
            <w:r>
              <w:rPr>
                <w:rFonts w:ascii="Arial" w:cs="Arial" w:eastAsia="Arial" w:hAnsi="Arial"/>
                <w:b/>
                <w:bCs/>
                <w:i w:val="false"/>
                <w:iCs w:val="false"/>
                <w:color w:val="FFFFFF"/>
                <w:sz w:val="32"/>
                <w:szCs w:val="32"/>
              </w:rPr>
              <w:t xml:space="preserve">4</w:t>
            </w:r>
          </w:p>
        </w:tc>
        <w:tc>
          <w:tcPr>
            <w:tcW w:type="dxa" w:w="85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pPr>
              <w:spacing w:after="40" w:before="80"/>
            </w:pPr>
            <w:r>
              <w:rPr>
                <w:rFonts w:ascii="Arial" w:cs="Arial" w:eastAsia="Arial" w:hAnsi="Arial"/>
                <w:b/>
                <w:bCs/>
                <w:i w:val="false"/>
                <w:iCs w:val="false"/>
                <w:color w:val="E07800"/>
                <w:sz w:val="20"/>
                <w:szCs w:val="20"/>
              </w:rPr>
              <w:t xml:space="preserve">Your firewall hasn't learned anything new since September 2025.</w:t>
            </w:r>
          </w:p>
          <w:p>
            <w:pPr>
              <w:spacing w:after="80" w:before="40"/>
            </w:pPr>
            <w:r>
              <w:rPr>
                <w:rFonts w:ascii="Arial" w:cs="Arial" w:eastAsia="Arial" w:hAnsi="Arial"/>
                <w:b w:val="false"/>
                <w:bCs w:val="false"/>
                <w:i w:val="false"/>
                <w:iCs w:val="false"/>
                <w:color w:val="333333"/>
                <w:sz w:val="18"/>
                <w:szCs w:val="18"/>
              </w:rPr>
              <w:t xml:space="preserve">Content pack, antivirus, and threat signatures are 174 days out of date — every new malware variant, exploit, and C2 domain discovered since September 15, 2025 is completely invisible. This takes 30 minutes to fix in Panorama and costs nothing. It is the single highest-ROI action in this report.</w:t>
            </w:r>
          </w:p>
        </w:tc>
      </w:tr>
    </w:tbl>
    <w:p>
      <w:pPr>
        <w:spacing w:after="120" w:before="0"/>
      </w:pPr>
      <w:r>
        <w:rPr>
          <w:rFonts w:ascii="Arial" w:cs="Arial" w:eastAsia="Arial" w:hAnsi="Arial"/>
          <w:b w:val="false"/>
          <w:bCs w:val="false"/>
          <w:i w:val="false"/>
          <w:iCs w:val="false"/>
          <w:color w:val="333333"/>
          <w:sz w:val="20"/>
          <w:szCs w:val="20"/>
        </w:rPr>
        <w:t xml:space="preserve"> </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tblGrid>
      <w:tr>
        <w:tc>
          <w:tcPr>
            <w:tcW w:type="dxa" w:w="800"/>
            <w:tcBorders>
              <w:top w:val="single" w:color="CCCCCC" w:sz="1"/>
              <w:left w:val="single" w:color="CCCCCC" w:sz="1"/>
              <w:bottom w:val="single" w:color="CCCCCC" w:sz="1"/>
              <w:right w:val="single" w:color="CCCCCC" w:sz="1"/>
            </w:tcBorders>
            <w:shd w:fill="E07800" w:color="auto" w:val="clear"/>
            <w:tcMar>
              <w:top w:type="dxa" w:w="80"/>
              <w:left w:type="dxa" w:w="120"/>
              <w:bottom w:type="dxa" w:w="80"/>
              <w:right w:type="dxa" w:w="120"/>
            </w:tcMar>
          </w:tcPr>
          <w:p>
            <w:pPr>
              <w:spacing w:after="100" w:before="100"/>
              <w:jc w:val="center"/>
            </w:pPr>
            <w:r>
              <w:rPr>
                <w:rFonts w:ascii="Arial" w:cs="Arial" w:eastAsia="Arial" w:hAnsi="Arial"/>
                <w:b/>
                <w:bCs/>
                <w:i w:val="false"/>
                <w:iCs w:val="false"/>
                <w:color w:val="FFFFFF"/>
                <w:sz w:val="32"/>
                <w:szCs w:val="32"/>
              </w:rPr>
              <w:t xml:space="preserve">5</w:t>
            </w:r>
          </w:p>
        </w:tc>
        <w:tc>
          <w:tcPr>
            <w:tcW w:type="dxa" w:w="85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pPr>
              <w:spacing w:after="40" w:before="80"/>
            </w:pPr>
            <w:r>
              <w:rPr>
                <w:rFonts w:ascii="Arial" w:cs="Arial" w:eastAsia="Arial" w:hAnsi="Arial"/>
                <w:b/>
                <w:bCs/>
                <w:i w:val="false"/>
                <w:iCs w:val="false"/>
                <w:color w:val="E07800"/>
                <w:sz w:val="20"/>
                <w:szCs w:val="20"/>
              </w:rPr>
              <w:t xml:space="preserve">Your own DNS servers are masking an unknown number of infected machines.</w:t>
            </w:r>
          </w:p>
          <w:p>
            <w:pPr>
              <w:spacing w:after="80" w:before="40"/>
            </w:pPr>
            <w:r>
              <w:rPr>
                <w:rFonts w:ascii="Arial" w:cs="Arial" w:eastAsia="Arial" w:hAnsi="Arial"/>
                <w:b w:val="false"/>
                <w:bCs w:val="false"/>
                <w:i w:val="false"/>
                <w:iCs w:val="false"/>
                <w:color w:val="333333"/>
                <w:sz w:val="18"/>
                <w:szCs w:val="18"/>
              </w:rPr>
              <w:t xml:space="preserve">10.57.11.173 and 10.57.11.174 are internal DNS resolvers — the firewall sees them making 48,000+ C2 requests, but they're just forwarding on behalf of the real infected endpoints. The actual compromised machines are invisible until you pull the DNS query logs. It could be two machines. It could be two hundred.</w:t>
            </w:r>
          </w:p>
        </w:tc>
      </w:tr>
    </w:tbl>
    <w:p>
      <w:pPr>
        <w:spacing w:after="120" w:before="0"/>
      </w:pPr>
      <w:r>
        <w:rPr>
          <w:rFonts w:ascii="Arial" w:cs="Arial" w:eastAsia="Arial" w:hAnsi="Arial"/>
          <w:b w:val="false"/>
          <w:bCs w:val="false"/>
          <w:i w:val="false"/>
          <w:iCs w:val="false"/>
          <w:color w:val="333333"/>
          <w:sz w:val="20"/>
          <w:szCs w:val="20"/>
        </w:rPr>
        <w:t xml:space="preserve"> </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tblGrid>
      <w:tr>
        <w:tc>
          <w:tcPr>
            <w:tcW w:type="dxa" w:w="800"/>
            <w:tcBorders>
              <w:top w:val="single" w:color="CCCCCC" w:sz="1"/>
              <w:left w:val="single" w:color="CCCCCC" w:sz="1"/>
              <w:bottom w:val="single" w:color="CCCCCC" w:sz="1"/>
              <w:right w:val="single" w:color="CCCCCC" w:sz="1"/>
            </w:tcBorders>
            <w:shd w:fill="E07800" w:color="auto" w:val="clear"/>
            <w:tcMar>
              <w:top w:type="dxa" w:w="80"/>
              <w:left w:type="dxa" w:w="120"/>
              <w:bottom w:type="dxa" w:w="80"/>
              <w:right w:type="dxa" w:w="120"/>
            </w:tcMar>
          </w:tcPr>
          <w:p>
            <w:pPr>
              <w:spacing w:after="100" w:before="100"/>
              <w:jc w:val="center"/>
            </w:pPr>
            <w:r>
              <w:rPr>
                <w:rFonts w:ascii="Arial" w:cs="Arial" w:eastAsia="Arial" w:hAnsi="Arial"/>
                <w:b/>
                <w:bCs/>
                <w:i w:val="false"/>
                <w:iCs w:val="false"/>
                <w:color w:val="FFFFFF"/>
                <w:sz w:val="32"/>
                <w:szCs w:val="32"/>
              </w:rPr>
              <w:t xml:space="preserve">6</w:t>
            </w:r>
          </w:p>
        </w:tc>
        <w:tc>
          <w:tcPr>
            <w:tcW w:type="dxa" w:w="8500"/>
            <w:tcBorders>
              <w:top w:val="single" w:color="CCCCCC" w:sz="1"/>
              <w:left w:val="single" w:color="CCCCCC" w:sz="1"/>
              <w:bottom w:val="single" w:color="CCCCCC" w:sz="1"/>
              <w:right w:val="single" w:color="CCCCCC" w:sz="1"/>
            </w:tcBorders>
            <w:shd w:fill="F2F2F2" w:color="auto" w:val="clear"/>
            <w:tcMar>
              <w:top w:type="dxa" w:w="80"/>
              <w:left w:type="dxa" w:w="120"/>
              <w:bottom w:type="dxa" w:w="80"/>
              <w:right w:type="dxa" w:w="120"/>
            </w:tcMar>
          </w:tcPr>
          <w:p>
            <w:pPr>
              <w:spacing w:after="40" w:before="80"/>
            </w:pPr>
            <w:r>
              <w:rPr>
                <w:rFonts w:ascii="Arial" w:cs="Arial" w:eastAsia="Arial" w:hAnsi="Arial"/>
                <w:b/>
                <w:bCs/>
                <w:i w:val="false"/>
                <w:iCs w:val="false"/>
                <w:color w:val="E07800"/>
                <w:sz w:val="20"/>
                <w:szCs w:val="20"/>
              </w:rPr>
              <w:t xml:space="preserve">Ransomware has a clear, open path through your network right now.</w:t>
            </w:r>
          </w:p>
          <w:p>
            <w:pPr>
              <w:spacing w:after="80" w:before="40"/>
            </w:pPr>
            <w:r>
              <w:rPr>
                <w:rFonts w:ascii="Arial" w:cs="Arial" w:eastAsia="Arial" w:hAnsi="Arial"/>
                <w:b w:val="false"/>
                <w:bCs w:val="false"/>
                <w:i w:val="false"/>
                <w:iCs w:val="false"/>
                <w:color w:val="333333"/>
                <w:sz w:val="18"/>
                <w:szCs w:val="18"/>
              </w:rPr>
              <w:t xml:space="preserve">WRM and SMB traffic is actively crossing between network zones that should be isolated — from office workstations into enterprise server segments. Every major ransomware incident of the past five years used exactly this pathway.</w:t>
            </w:r>
          </w:p>
        </w:tc>
      </w:tr>
    </w:tbl>
    <w:p>
      <w:pPr>
        <w:spacing w:after="120" w:before="0"/>
      </w:pPr>
      <w:r>
        <w:rPr>
          <w:rFonts w:ascii="Arial" w:cs="Arial" w:eastAsia="Arial" w:hAnsi="Arial"/>
          <w:b w:val="false"/>
          <w:bCs w:val="false"/>
          <w:i w:val="false"/>
          <w:iCs w:val="false"/>
          <w:color w:val="333333"/>
          <w:sz w:val="20"/>
          <w:szCs w:val="20"/>
        </w:rPr>
        <w:t xml:space="preserve"> </w:t>
      </w:r>
    </w:p>
    <w:p>
      <w:pPr>
        <w:spacing w:after="120" w:before="40"/>
        <w:jc w:val="left"/>
      </w:pPr>
      <w:r>
        <w:rPr>
          <w:rFonts w:ascii="Arial" w:cs="Arial" w:eastAsia="Arial" w:hAnsi="Arial"/>
          <w:b w:val="false"/>
          <w:bCs w:val="false"/>
          <w:i/>
          <w:iCs/>
          <w:color w:val="666666"/>
          <w:sz w:val="20"/>
          <w:szCs w:val="20"/>
        </w:rPr>
        <w:t xml:space="preserve">The detailed technical evidence supporting each of the findings above follows in the sections below.</w:t>
      </w:r>
    </w:p>
    <w:p>
      <w:r>
        <w:br w:type="page"/>
      </w:r>
    </w:p>
    <w:p>
      <w:pPr>
        <w:pBdr>
          <w:bottom w:val="single" w:color="FA4616" w:sz="6"/>
        </w:pBdr>
        <w:spacing w:after="120" w:before="280"/>
      </w:pPr>
      <w:r>
        <w:rPr>
          <w:rFonts w:ascii="Arial" w:cs="Arial" w:eastAsia="Arial" w:hAnsi="Arial"/>
          <w:b/>
          <w:bCs/>
          <w:i w:val="false"/>
          <w:iCs w:val="false"/>
          <w:color w:val="FA4616"/>
          <w:sz w:val="26"/>
          <w:szCs w:val="26"/>
        </w:rPr>
        <w:t xml:space="preserve">1. Executive Summary</w:t>
      </w:r>
    </w:p>
    <w:p>
      <w:pPr>
        <w:spacing w:after="120" w:before="40"/>
        <w:jc w:val="left"/>
      </w:pPr>
      <w:r>
        <w:rPr>
          <w:rFonts w:ascii="Arial" w:cs="Arial" w:eastAsia="Arial" w:hAnsi="Arial"/>
          <w:b w:val="false"/>
          <w:bCs w:val="false"/>
          <w:i w:val="false"/>
          <w:iCs w:val="false"/>
          <w:color w:val="333333"/>
          <w:sz w:val="20"/>
          <w:szCs w:val="20"/>
        </w:rPr>
        <w:t xml:space="preserve">This Security Assessment analyzes IDEX Corporation's network security posture for the period February 27 – March 9, 2026, based on Panorama statsdump archives, threat log CSV exports (104,358 rows after zone filtering), traffic logs, and the Security Lifecycle Review (SLR). Internal zone filter applied: all traffic with Source Zone ≠ 'untrust' and ≠ 'guest'.</w:t>
      </w:r>
    </w:p>
    <w:p>
      <w:pPr>
        <w:spacing w:after="120" w:before="0"/>
      </w:pPr>
      <w:r>
        <w:rPr>
          <w:rFonts w:ascii="Arial" w:cs="Arial" w:eastAsia="Arial" w:hAnsi="Arial"/>
          <w:b w:val="false"/>
          <w:bCs w:val="false"/>
          <w:i w:val="false"/>
          <w:iCs w:val="false"/>
          <w:color w:val="333333"/>
          <w:sz w:val="20"/>
          <w:szCs w:val="20"/>
        </w:rPr>
        <w:t xml:space="preserve"> </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tblGrid>
      <w:tr>
        <w:tc>
          <w:tcPr>
            <w:tcW w:type="pct" w:w="33.3%"/>
            <w:tcBorders>
              <w:top w:val="single" w:color="CCCCCC" w:sz="1"/>
              <w:left w:val="single" w:color="CCCCCC" w:sz="1"/>
              <w:bottom w:val="single" w:color="CCCCCC" w:sz="1"/>
              <w:right w:val="single" w:color="CCCCCC" w:sz="1"/>
            </w:tcBorders>
            <w:shd w:fill="333333" w:color="auto" w:val="clear"/>
            <w:tcMar>
              <w:top w:type="dxa" w:w="80"/>
              <w:left w:type="dxa" w:w="120"/>
              <w:bottom w:type="dxa" w:w="80"/>
              <w:right w:type="dxa" w:w="120"/>
            </w:tcMar>
          </w:tcPr>
          <w:p>
            <w:pPr>
              <w:spacing w:after="40" w:before="120"/>
              <w:jc w:val="center"/>
            </w:pPr>
            <w:r>
              <w:rPr>
                <w:rFonts w:ascii="Arial" w:cs="Arial" w:eastAsia="Arial" w:hAnsi="Arial"/>
                <w:b/>
                <w:bCs/>
                <w:i w:val="false"/>
                <w:iCs w:val="false"/>
                <w:color w:val="FFFFFF"/>
                <w:sz w:val="44"/>
                <w:szCs w:val="44"/>
              </w:rPr>
              <w:t xml:space="preserve">739</w:t>
            </w:r>
          </w:p>
          <w:p>
            <w:pPr>
              <w:spacing w:after="120" w:before="0"/>
              <w:jc w:val="center"/>
            </w:pPr>
            <w:r>
              <w:rPr>
                <w:rFonts w:ascii="Arial" w:cs="Arial" w:eastAsia="Arial" w:hAnsi="Arial"/>
                <w:b w:val="false"/>
                <w:bCs w:val="false"/>
                <w:i w:val="false"/>
                <w:iCs w:val="false"/>
                <w:color w:val="FFFFFF"/>
                <w:sz w:val="18"/>
                <w:szCs w:val="18"/>
              </w:rPr>
              <w:t xml:space="preserve">Total Applications</w:t>
            </w:r>
          </w:p>
        </w:tc>
        <w:tc>
          <w:tcPr>
            <w:tcW w:type="pct" w:w="33.3%"/>
            <w:tcBorders>
              <w:top w:val="single" w:color="CCCCCC" w:sz="1"/>
              <w:left w:val="single" w:color="CCCCCC" w:sz="1"/>
              <w:bottom w:val="single" w:color="CCCCCC" w:sz="1"/>
              <w:right w:val="single" w:color="CCCCCC" w:sz="1"/>
            </w:tcBorders>
            <w:shd w:fill="FA4616" w:color="auto" w:val="clear"/>
            <w:tcMar>
              <w:top w:type="dxa" w:w="80"/>
              <w:left w:type="dxa" w:w="120"/>
              <w:bottom w:type="dxa" w:w="80"/>
              <w:right w:type="dxa" w:w="120"/>
            </w:tcMar>
          </w:tcPr>
          <w:p>
            <w:pPr>
              <w:spacing w:after="40" w:before="120"/>
              <w:jc w:val="center"/>
            </w:pPr>
            <w:r>
              <w:rPr>
                <w:rFonts w:ascii="Arial" w:cs="Arial" w:eastAsia="Arial" w:hAnsi="Arial"/>
                <w:b/>
                <w:bCs/>
                <w:i w:val="false"/>
                <w:iCs w:val="false"/>
                <w:color w:val="FFFFFF"/>
                <w:sz w:val="44"/>
                <w:szCs w:val="44"/>
              </w:rPr>
              <w:t xml:space="preserve">58</w:t>
            </w:r>
          </w:p>
          <w:p>
            <w:pPr>
              <w:spacing w:after="120" w:before="0"/>
              <w:jc w:val="center"/>
            </w:pPr>
            <w:r>
              <w:rPr>
                <w:rFonts w:ascii="Arial" w:cs="Arial" w:eastAsia="Arial" w:hAnsi="Arial"/>
                <w:b w:val="false"/>
                <w:bCs w:val="false"/>
                <w:i w:val="false"/>
                <w:iCs w:val="false"/>
                <w:color w:val="FFFFFF"/>
                <w:sz w:val="18"/>
                <w:szCs w:val="18"/>
              </w:rPr>
              <w:t xml:space="preserve">High-Risk Apps</w:t>
            </w:r>
          </w:p>
        </w:tc>
        <w:tc>
          <w:tcPr>
            <w:tcW w:type="pct" w:w="33.3%"/>
            <w:tcBorders>
              <w:top w:val="single" w:color="CCCCCC" w:sz="1"/>
              <w:left w:val="single" w:color="CCCCCC" w:sz="1"/>
              <w:bottom w:val="single" w:color="CCCCCC" w:sz="1"/>
              <w:right w:val="single" w:color="CCCCCC" w:sz="1"/>
            </w:tcBorders>
            <w:shd w:fill="555555" w:color="auto" w:val="clear"/>
            <w:tcMar>
              <w:top w:type="dxa" w:w="80"/>
              <w:left w:type="dxa" w:w="120"/>
              <w:bottom w:type="dxa" w:w="80"/>
              <w:right w:type="dxa" w:w="120"/>
            </w:tcMar>
          </w:tcPr>
          <w:p>
            <w:pPr>
              <w:spacing w:after="40" w:before="120"/>
              <w:jc w:val="center"/>
            </w:pPr>
            <w:r>
              <w:rPr>
                <w:rFonts w:ascii="Arial" w:cs="Arial" w:eastAsia="Arial" w:hAnsi="Arial"/>
                <w:b/>
                <w:bCs/>
                <w:i w:val="false"/>
                <w:iCs w:val="false"/>
                <w:color w:val="FFFFFF"/>
                <w:sz w:val="44"/>
                <w:szCs w:val="44"/>
              </w:rPr>
              <w:t xml:space="preserve">411</w:t>
            </w:r>
          </w:p>
          <w:p>
            <w:pPr>
              <w:spacing w:after="120" w:before="0"/>
              <w:jc w:val="center"/>
            </w:pPr>
            <w:r>
              <w:rPr>
                <w:rFonts w:ascii="Arial" w:cs="Arial" w:eastAsia="Arial" w:hAnsi="Arial"/>
                <w:b w:val="false"/>
                <w:bCs w:val="false"/>
                <w:i w:val="false"/>
                <w:iCs w:val="false"/>
                <w:color w:val="FFFFFF"/>
                <w:sz w:val="18"/>
                <w:szCs w:val="18"/>
              </w:rPr>
              <w:t xml:space="preserve">SaaS Applications</w:t>
            </w:r>
          </w:p>
        </w:tc>
      </w:tr>
    </w:tbl>
    <w:p>
      <w:pPr>
        <w:spacing w:after="120" w:before="0"/>
      </w:pPr>
      <w:r>
        <w:rPr>
          <w:rFonts w:ascii="Arial" w:cs="Arial" w:eastAsia="Arial" w:hAnsi="Arial"/>
          <w:b w:val="false"/>
          <w:bCs w:val="false"/>
          <w:i w:val="false"/>
          <w:iCs w:val="false"/>
          <w:color w:val="333333"/>
          <w:sz w:val="20"/>
          <w:szCs w:val="20"/>
        </w:rPr>
        <w:t xml:space="preserve"> </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tblGrid>
      <w:tr>
        <w:tc>
          <w:tcPr>
            <w:tcW w:type="pct" w:w="33.3%"/>
            <w:tcBorders>
              <w:top w:val="single" w:color="CCCCCC" w:sz="1"/>
              <w:left w:val="single" w:color="CCCCCC" w:sz="1"/>
              <w:bottom w:val="single" w:color="CCCCCC" w:sz="1"/>
              <w:right w:val="single" w:color="CCCCCC" w:sz="1"/>
            </w:tcBorders>
            <w:shd w:fill="CC0000" w:color="auto" w:val="clear"/>
            <w:tcMar>
              <w:top w:type="dxa" w:w="80"/>
              <w:left w:type="dxa" w:w="120"/>
              <w:bottom w:type="dxa" w:w="80"/>
              <w:right w:type="dxa" w:w="120"/>
            </w:tcMar>
          </w:tcPr>
          <w:p>
            <w:pPr>
              <w:spacing w:after="40" w:before="120"/>
              <w:jc w:val="center"/>
            </w:pPr>
            <w:r>
              <w:rPr>
                <w:rFonts w:ascii="Arial" w:cs="Arial" w:eastAsia="Arial" w:hAnsi="Arial"/>
                <w:b/>
                <w:bCs/>
                <w:i w:val="false"/>
                <w:iCs w:val="false"/>
                <w:color w:val="FFFFFF"/>
                <w:sz w:val="44"/>
                <w:szCs w:val="44"/>
              </w:rPr>
              <w:t xml:space="preserve">104,259</w:t>
            </w:r>
          </w:p>
          <w:p>
            <w:pPr>
              <w:spacing w:after="120" w:before="0"/>
              <w:jc w:val="center"/>
            </w:pPr>
            <w:r>
              <w:rPr>
                <w:rFonts w:ascii="Arial" w:cs="Arial" w:eastAsia="Arial" w:hAnsi="Arial"/>
                <w:b w:val="false"/>
                <w:bCs w:val="false"/>
                <w:i w:val="false"/>
                <w:iCs w:val="false"/>
                <w:color w:val="FFFFFF"/>
                <w:sz w:val="18"/>
                <w:szCs w:val="18"/>
              </w:rPr>
              <w:t xml:space="preserve">Vulnerability Exploits</w:t>
            </w:r>
          </w:p>
        </w:tc>
        <w:tc>
          <w:tcPr>
            <w:tcW w:type="pct" w:w="33.3%"/>
            <w:tcBorders>
              <w:top w:val="single" w:color="CCCCCC" w:sz="1"/>
              <w:left w:val="single" w:color="CCCCCC" w:sz="1"/>
              <w:bottom w:val="single" w:color="CCCCCC" w:sz="1"/>
              <w:right w:val="single" w:color="CCCCCC" w:sz="1"/>
            </w:tcBorders>
            <w:shd w:fill="CC0000" w:color="auto" w:val="clear"/>
            <w:tcMar>
              <w:top w:type="dxa" w:w="80"/>
              <w:left w:type="dxa" w:w="120"/>
              <w:bottom w:type="dxa" w:w="80"/>
              <w:right w:type="dxa" w:w="120"/>
            </w:tcMar>
          </w:tcPr>
          <w:p>
            <w:pPr>
              <w:spacing w:after="40" w:before="120"/>
              <w:jc w:val="center"/>
            </w:pPr>
            <w:r>
              <w:rPr>
                <w:rFonts w:ascii="Arial" w:cs="Arial" w:eastAsia="Arial" w:hAnsi="Arial"/>
                <w:b/>
                <w:bCs/>
                <w:i w:val="false"/>
                <w:iCs w:val="false"/>
                <w:color w:val="FFFFFF"/>
                <w:sz w:val="44"/>
                <w:szCs w:val="44"/>
              </w:rPr>
              <w:t xml:space="preserve">104,358</w:t>
            </w:r>
          </w:p>
          <w:p>
            <w:pPr>
              <w:spacing w:after="120" w:before="0"/>
              <w:jc w:val="center"/>
            </w:pPr>
            <w:r>
              <w:rPr>
                <w:rFonts w:ascii="Arial" w:cs="Arial" w:eastAsia="Arial" w:hAnsi="Arial"/>
                <w:b w:val="false"/>
                <w:bCs w:val="false"/>
                <w:i w:val="false"/>
                <w:iCs w:val="false"/>
                <w:color w:val="FFFFFF"/>
                <w:sz w:val="18"/>
                <w:szCs w:val="18"/>
              </w:rPr>
              <w:t xml:space="preserve">Total Threats</w:t>
            </w:r>
          </w:p>
        </w:tc>
        <w:tc>
          <w:tcPr>
            <w:tcW w:type="pct" w:w="33.3%"/>
            <w:tcBorders>
              <w:top w:val="single" w:color="CCCCCC" w:sz="1"/>
              <w:left w:val="single" w:color="CCCCCC" w:sz="1"/>
              <w:bottom w:val="single" w:color="CCCCCC" w:sz="1"/>
              <w:right w:val="single" w:color="CCCCCC" w:sz="1"/>
            </w:tcBorders>
            <w:shd w:fill="E07800" w:color="auto" w:val="clear"/>
            <w:tcMar>
              <w:top w:type="dxa" w:w="80"/>
              <w:left w:type="dxa" w:w="120"/>
              <w:bottom w:type="dxa" w:w="80"/>
              <w:right w:type="dxa" w:w="120"/>
            </w:tcMar>
          </w:tcPr>
          <w:p>
            <w:pPr>
              <w:spacing w:after="40" w:before="120"/>
              <w:jc w:val="center"/>
            </w:pPr>
            <w:r>
              <w:rPr>
                <w:rFonts w:ascii="Arial" w:cs="Arial" w:eastAsia="Arial" w:hAnsi="Arial"/>
                <w:b/>
                <w:bCs/>
                <w:i w:val="false"/>
                <w:iCs w:val="false"/>
                <w:color w:val="FFFFFF"/>
                <w:sz w:val="44"/>
                <w:szCs w:val="44"/>
              </w:rPr>
              <w:t xml:space="preserve">20</w:t>
            </w:r>
          </w:p>
          <w:p>
            <w:pPr>
              <w:spacing w:after="120" w:before="0"/>
              <w:jc w:val="center"/>
            </w:pPr>
            <w:r>
              <w:rPr>
                <w:rFonts w:ascii="Arial" w:cs="Arial" w:eastAsia="Arial" w:hAnsi="Arial"/>
                <w:b w:val="false"/>
                <w:bCs w:val="false"/>
                <w:i w:val="false"/>
                <w:iCs w:val="false"/>
                <w:color w:val="FFFFFF"/>
                <w:sz w:val="18"/>
                <w:szCs w:val="18"/>
              </w:rPr>
              <w:t xml:space="preserve">Malware Detected</w:t>
            </w:r>
          </w:p>
        </w:tc>
      </w:tr>
    </w:tbl>
    <w:p>
      <w:pPr>
        <w:spacing w:after="120" w:before="0"/>
      </w:pPr>
      <w:r>
        <w:rPr>
          <w:rFonts w:ascii="Arial" w:cs="Arial" w:eastAsia="Arial" w:hAnsi="Arial"/>
          <w:b w:val="false"/>
          <w:bCs w:val="false"/>
          <w:i w:val="false"/>
          <w:iCs w:val="false"/>
          <w:color w:val="333333"/>
          <w:sz w:val="20"/>
          <w:szCs w:val="20"/>
        </w:rPr>
        <w:t xml:space="preserve"> </w:t>
      </w:r>
    </w:p>
    <w:p>
      <w:pPr>
        <w:spacing w:after="60" w:before="120"/>
      </w:pPr>
      <w:r>
        <w:rPr>
          <w:rFonts w:ascii="Arial" w:cs="Arial" w:eastAsia="Arial" w:hAnsi="Arial"/>
          <w:b/>
          <w:bCs/>
          <w:i w:val="false"/>
          <w:iCs w:val="false"/>
          <w:color w:val="333333"/>
          <w:sz w:val="19"/>
          <w:szCs w:val="19"/>
        </w:rPr>
        <w:t xml:space="preserve">Key Findings</w:t>
      </w:r>
    </w:p>
    <w:p>
      <w:pPr>
        <w:pStyle w:val="ListParagraph"/>
        <w:numPr>
          <w:ilvl w:val="0"/>
          <w:numId w:val="1"/>
        </w:numPr>
        <w:spacing w:after="20" w:before="20"/>
      </w:pPr>
      <w:r>
        <w:rPr>
          <w:rFonts w:ascii="Arial" w:cs="Arial" w:eastAsia="Arial" w:hAnsi="Arial"/>
          <w:b w:val="false"/>
          <w:bCs w:val="false"/>
          <w:i w:val="false"/>
          <w:iCs w:val="false"/>
          <w:color w:val="333333"/>
          <w:sz w:val="20"/>
          <w:szCs w:val="20"/>
        </w:rPr>
        <w:t xml:space="preserve">739 total applications observed vs. 273 industry average (Manufacturing peer group) — 171% above peer baseline</w:t>
      </w:r>
    </w:p>
    <w:p>
      <w:pPr>
        <w:pStyle w:val="ListParagraph"/>
        <w:numPr>
          <w:ilvl w:val="0"/>
          <w:numId w:val="1"/>
        </w:numPr>
        <w:spacing w:after="20" w:before="20"/>
      </w:pPr>
      <w:r>
        <w:rPr>
          <w:rFonts w:ascii="Arial" w:cs="Arial" w:eastAsia="Arial" w:hAnsi="Arial"/>
          <w:b w:val="false"/>
          <w:bCs w:val="false"/>
          <w:i w:val="false"/>
          <w:iCs w:val="false"/>
          <w:color w:val="333333"/>
          <w:sz w:val="20"/>
          <w:szCs w:val="20"/>
        </w:rPr>
        <w:t xml:space="preserve">104,259 vulnerability exploits detected — top apps: ms-ds-smbv3 (51,412), github-base (38,508), msrpc-base (4,031), web-browsing (4,005)</w:t>
      </w:r>
    </w:p>
    <w:p>
      <w:pPr>
        <w:pStyle w:val="ListParagraph"/>
        <w:numPr>
          <w:ilvl w:val="0"/>
          <w:numId w:val="1"/>
        </w:numPr>
        <w:spacing w:after="20" w:before="20"/>
      </w:pPr>
      <w:r>
        <w:rPr>
          <w:rFonts w:ascii="Arial" w:cs="Arial" w:eastAsia="Arial" w:hAnsi="Arial"/>
          <w:b w:val="false"/>
          <w:bCs w:val="false"/>
          <w:i w:val="false"/>
          <w:iCs w:val="false"/>
          <w:color w:val="333333"/>
          <w:sz w:val="20"/>
          <w:szCs w:val="20"/>
        </w:rPr>
        <w:t xml:space="preserve">Active C2 beaconing confirmed from 35+ internal IP addresses to 3+ known malicious domains (intempio.com TID 397955421 leads with 16,019 hits)</w:t>
      </w:r>
    </w:p>
    <w:p>
      <w:pPr>
        <w:pStyle w:val="ListParagraph"/>
        <w:numPr>
          <w:ilvl w:val="0"/>
          <w:numId w:val="1"/>
        </w:numPr>
        <w:spacing w:after="20" w:before="20"/>
      </w:pPr>
      <w:r>
        <w:rPr>
          <w:rFonts w:ascii="Arial" w:cs="Arial" w:eastAsia="Arial" w:hAnsi="Arial"/>
          <w:b w:val="false"/>
          <w:bCs w:val="false"/>
          <w:i w:val="false"/>
          <w:iCs w:val="false"/>
          <w:color w:val="333333"/>
          <w:sz w:val="20"/>
          <w:szCs w:val="20"/>
        </w:rPr>
        <w:t xml:space="preserve">CRITICAL: Brand-squatting domain idexdmz.com detected — 365 internal hits, IDEX Corporation corporate brand impersonation</w:t>
      </w:r>
    </w:p>
    <w:p>
      <w:pPr>
        <w:pStyle w:val="ListParagraph"/>
        <w:numPr>
          <w:ilvl w:val="0"/>
          <w:numId w:val="1"/>
        </w:numPr>
        <w:spacing w:after="20" w:before="20"/>
      </w:pPr>
      <w:r>
        <w:rPr>
          <w:rFonts w:ascii="Arial" w:cs="Arial" w:eastAsia="Arial" w:hAnsi="Arial"/>
          <w:b w:val="false"/>
          <w:bCs w:val="false"/>
          <w:i w:val="false"/>
          <w:iCs w:val="false"/>
          <w:color w:val="333333"/>
          <w:sz w:val="20"/>
          <w:szCs w:val="20"/>
        </w:rPr>
        <w:t xml:space="preserve">Named user confirmed in Apache Log4j RCE exploit (CVE-2021-44228): idexna\bidservices → external IP 35.201.101.243:443</w:t>
      </w:r>
    </w:p>
    <w:p>
      <w:pPr>
        <w:pStyle w:val="ListParagraph"/>
        <w:numPr>
          <w:ilvl w:val="0"/>
          <w:numId w:val="1"/>
        </w:numPr>
        <w:spacing w:after="20" w:before="20"/>
      </w:pPr>
      <w:r>
        <w:rPr>
          <w:rFonts w:ascii="Arial" w:cs="Arial" w:eastAsia="Arial" w:hAnsi="Arial"/>
          <w:b w:val="false"/>
          <w:bCs w:val="false"/>
          <w:i w:val="false"/>
          <w:iCs w:val="false"/>
          <w:color w:val="333333"/>
          <w:sz w:val="20"/>
          <w:szCs w:val="20"/>
        </w:rPr>
        <w:t xml:space="preserve">Panorama content pack, AV, and threat definitions are 174 days out of date (last updated September 15, 2025)</w:t>
      </w:r>
    </w:p>
    <w:p>
      <w:pPr>
        <w:pStyle w:val="ListParagraph"/>
        <w:numPr>
          <w:ilvl w:val="0"/>
          <w:numId w:val="1"/>
        </w:numPr>
        <w:spacing w:after="20" w:before="20"/>
      </w:pPr>
      <w:r>
        <w:rPr>
          <w:rFonts w:ascii="Arial" w:cs="Arial" w:eastAsia="Arial" w:hAnsi="Arial"/>
          <w:b w:val="false"/>
          <w:bCs w:val="false"/>
          <w:i w:val="false"/>
          <w:iCs w:val="false"/>
          <w:color w:val="333333"/>
          <w:sz w:val="20"/>
          <w:szCs w:val="20"/>
        </w:rPr>
        <w:t xml:space="preserve">SaaS bandwidth at 55.43 TB (44.3% of all traffic) vs. 0.4% industry average</w:t>
      </w:r>
    </w:p>
    <w:p>
      <w:pPr>
        <w:pStyle w:val="ListParagraph"/>
        <w:numPr>
          <w:ilvl w:val="0"/>
          <w:numId w:val="1"/>
        </w:numPr>
        <w:spacing w:after="20" w:before="20"/>
      </w:pPr>
      <w:r>
        <w:rPr>
          <w:rFonts w:ascii="Arial" w:cs="Arial" w:eastAsia="Arial" w:hAnsi="Arial"/>
          <w:b w:val="false"/>
          <w:bCs w:val="false"/>
          <w:i w:val="false"/>
          <w:iCs w:val="false"/>
          <w:color w:val="333333"/>
          <w:sz w:val="20"/>
          <w:szCs w:val="20"/>
        </w:rPr>
        <w:t xml:space="preserve">30 remote access applications detected vs. industry average of 9 — unmanaged tool sprawl including VNC (Risk-5), AnyDesk, ScreenConnect</w:t>
      </w:r>
    </w:p>
    <w:p>
      <w:pPr>
        <w:spacing w:after="120" w:before="0"/>
      </w:pPr>
      <w:r>
        <w:rPr>
          <w:rFonts w:ascii="Arial" w:cs="Arial" w:eastAsia="Arial" w:hAnsi="Arial"/>
          <w:b w:val="false"/>
          <w:bCs w:val="false"/>
          <w:i w:val="false"/>
          <w:iCs w:val="false"/>
          <w:color w:val="333333"/>
          <w:sz w:val="20"/>
          <w:szCs w:val="20"/>
        </w:rPr>
        <w:t xml:space="preserve"> </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tblGrid>
      <w:tr>
        <w:tc>
          <w:tcPr>
            <w:tcW w:type="pct" w:w="100%"/>
            <w:tcBorders>
              <w:top w:val="single" w:color="CCCCCC" w:sz="1"/>
              <w:left w:val="single" w:color="CCCCCC" w:sz="1"/>
              <w:bottom w:val="single" w:color="CCCCCC" w:sz="1"/>
              <w:right w:val="single" w:color="CCCCCC" w:sz="1"/>
            </w:tcBorders>
            <w:shd w:fill="FA4616" w:color="auto" w:val="clear"/>
            <w:tcMar>
              <w:top w:type="dxa" w:w="80"/>
              <w:left w:type="dxa" w:w="120"/>
              <w:bottom w:type="dxa" w:w="80"/>
              <w:right w:type="dxa" w:w="120"/>
            </w:tcMar>
          </w:tcPr>
          <w:p>
            <w:pPr>
              <w:spacing w:after="80" w:before="80"/>
            </w:pPr>
            <w:r>
              <w:rPr>
                <w:rFonts w:ascii="Arial" w:cs="Arial" w:eastAsia="Arial" w:hAnsi="Arial"/>
                <w:b/>
                <w:bCs/>
                <w:i w:val="false"/>
                <w:iCs w:val="false"/>
                <w:color w:val="FFFFFF"/>
                <w:sz w:val="18"/>
                <w:szCs w:val="18"/>
              </w:rPr>
              <w:t xml:space="preserve">⚠  SO WHAT — WHY THIS MATTERS</w:t>
            </w:r>
          </w:p>
        </w:tc>
      </w:tr>
      <w:tr>
        <w:tc>
          <w:tcPr>
            <w:tcW w:type="pct" w:w="100%"/>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pPr>
            <w:r>
              <w:rPr>
                <w:rFonts w:ascii="Arial" w:cs="Arial" w:eastAsia="Arial" w:hAnsi="Arial"/>
                <w:b/>
                <w:bCs/>
                <w:i w:val="false"/>
                <w:iCs w:val="false"/>
                <w:color w:val="FA4616"/>
                <w:sz w:val="20"/>
                <w:szCs w:val="20"/>
              </w:rPr>
              <w:t xml:space="preserve">› </w:t>
            </w:r>
            <w:r>
              <w:rPr>
                <w:rFonts w:ascii="Arial" w:cs="Arial" w:eastAsia="Arial" w:hAnsi="Arial"/>
                <w:b w:val="false"/>
                <w:bCs w:val="false"/>
                <w:i w:val="false"/>
                <w:iCs w:val="false"/>
                <w:color w:val="333333"/>
                <w:sz w:val="20"/>
                <w:szCs w:val="20"/>
              </w:rPr>
              <w:t xml:space="preserve">739 apps — your attack surface is 3× larger than peers. Every unmanaged app is a potential entry point an attacker can exploit.</w:t>
            </w:r>
          </w:p>
        </w:tc>
      </w:tr>
      <w:tr>
        <w:tc>
          <w:tcPr>
            <w:tcW w:type="pct" w:w="1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pPr>
            <w:r>
              <w:rPr>
                <w:rFonts w:ascii="Arial" w:cs="Arial" w:eastAsia="Arial" w:hAnsi="Arial"/>
                <w:b/>
                <w:bCs/>
                <w:i w:val="false"/>
                <w:iCs w:val="false"/>
                <w:color w:val="FA4616"/>
                <w:sz w:val="20"/>
                <w:szCs w:val="20"/>
              </w:rPr>
              <w:t xml:space="preserve">› </w:t>
            </w:r>
            <w:r>
              <w:rPr>
                <w:rFonts w:ascii="Arial" w:cs="Arial" w:eastAsia="Arial" w:hAnsi="Arial"/>
                <w:b w:val="false"/>
                <w:bCs w:val="false"/>
                <w:i w:val="false"/>
                <w:iCs w:val="false"/>
                <w:color w:val="333333"/>
                <w:sz w:val="20"/>
                <w:szCs w:val="20"/>
              </w:rPr>
              <w:t xml:space="preserve">104,259 vulnerability exploits means attackers are actively probing IDEX Corporation systems for known holes. The fact that most are being blocked does NOT mean the threat is gone.</w:t>
            </w:r>
          </w:p>
        </w:tc>
      </w:tr>
      <w:tr>
        <w:tc>
          <w:tcPr>
            <w:tcW w:type="pct" w:w="100%"/>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pPr>
            <w:r>
              <w:rPr>
                <w:rFonts w:ascii="Arial" w:cs="Arial" w:eastAsia="Arial" w:hAnsi="Arial"/>
                <w:b/>
                <w:bCs/>
                <w:i w:val="false"/>
                <w:iCs w:val="false"/>
                <w:color w:val="FA4616"/>
                <w:sz w:val="20"/>
                <w:szCs w:val="20"/>
              </w:rPr>
              <w:t xml:space="preserve">› </w:t>
            </w:r>
            <w:r>
              <w:rPr>
                <w:rFonts w:ascii="Arial" w:cs="Arial" w:eastAsia="Arial" w:hAnsi="Arial"/>
                <w:b w:val="false"/>
                <w:bCs w:val="false"/>
                <w:i w:val="false"/>
                <w:iCs w:val="false"/>
                <w:color w:val="333333"/>
                <w:sz w:val="20"/>
                <w:szCs w:val="20"/>
              </w:rPr>
              <w:t xml:space="preserve">The 174-day content gap is the single most dangerous item in this report. Any new malware or exploit since September 15, 2025 is completely invisible to your security stack.</w:t>
            </w:r>
          </w:p>
        </w:tc>
      </w:tr>
      <w:tr>
        <w:tc>
          <w:tcPr>
            <w:tcW w:type="pct" w:w="1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pPr>
            <w:r>
              <w:rPr>
                <w:rFonts w:ascii="Arial" w:cs="Arial" w:eastAsia="Arial" w:hAnsi="Arial"/>
                <w:b/>
                <w:bCs/>
                <w:i w:val="false"/>
                <w:iCs w:val="false"/>
                <w:color w:val="FA4616"/>
                <w:sz w:val="20"/>
                <w:szCs w:val="20"/>
              </w:rPr>
              <w:t xml:space="preserve">› </w:t>
            </w:r>
            <w:r>
              <w:rPr>
                <w:rFonts w:ascii="Arial" w:cs="Arial" w:eastAsia="Arial" w:hAnsi="Arial"/>
                <w:b w:val="false"/>
                <w:bCs w:val="false"/>
                <w:i w:val="false"/>
                <w:iCs w:val="false"/>
                <w:color w:val="333333"/>
                <w:sz w:val="20"/>
                <w:szCs w:val="20"/>
              </w:rPr>
              <w:t xml:space="preserve">SaaS bandwidth at 44% of all traffic with zero DLP oversight means sensitive data could be leaving the network right now — and you would not know.</w:t>
            </w:r>
          </w:p>
        </w:tc>
      </w:tr>
    </w:tbl>
    <w:p>
      <w:r>
        <w:br w:type="page"/>
      </w:r>
    </w:p>
    <w:p>
      <w:pPr>
        <w:pBdr>
          <w:bottom w:val="single" w:color="FA4616" w:sz="6"/>
        </w:pBdr>
        <w:spacing w:after="120" w:before="280"/>
      </w:pPr>
      <w:r>
        <w:rPr>
          <w:rFonts w:ascii="Arial" w:cs="Arial" w:eastAsia="Arial" w:hAnsi="Arial"/>
          <w:b/>
          <w:bCs/>
          <w:i w:val="false"/>
          <w:iCs w:val="false"/>
          <w:color w:val="FA4616"/>
          <w:sz w:val="26"/>
          <w:szCs w:val="26"/>
        </w:rPr>
        <w:t xml:space="preserve">2. Active Command &amp; Control (C2) &amp; Malware Activity</w:t>
      </w:r>
    </w:p>
    <w:p>
      <w:pPr>
        <w:spacing w:after="120" w:before="40"/>
        <w:jc w:val="left"/>
      </w:pPr>
      <w:r>
        <w:rPr>
          <w:rFonts w:ascii="Arial" w:cs="Arial" w:eastAsia="Arial" w:hAnsi="Arial"/>
          <w:b w:val="false"/>
          <w:bCs w:val="false"/>
          <w:i w:val="false"/>
          <w:iCs w:val="false"/>
          <w:color w:val="333333"/>
          <w:sz w:val="20"/>
          <w:szCs w:val="20"/>
        </w:rPr>
        <w:t xml:space="preserve">Analysis of 8,500 threat log rows (internal zones only) identified persistent DNS-based C2 beaconing from 35+ unique source IP addresses.</w:t>
      </w:r>
    </w:p>
    <w:p>
      <w:pPr>
        <w:spacing w:after="120" w:before="0"/>
      </w:pPr>
      <w:r>
        <w:rPr>
          <w:rFonts w:ascii="Arial" w:cs="Arial" w:eastAsia="Arial" w:hAnsi="Arial"/>
          <w:b w:val="false"/>
          <w:bCs w:val="false"/>
          <w:i w:val="false"/>
          <w:iCs w:val="false"/>
          <w:color w:val="333333"/>
          <w:sz w:val="20"/>
          <w:szCs w:val="20"/>
        </w:rPr>
        <w:t xml:space="preserve"> </w:t>
      </w:r>
    </w:p>
    <w:p>
      <w:pPr>
        <w:spacing w:after="60" w:before="120"/>
      </w:pPr>
      <w:r>
        <w:rPr>
          <w:rFonts w:ascii="Arial" w:cs="Arial" w:eastAsia="Arial" w:hAnsi="Arial"/>
          <w:b/>
          <w:bCs/>
          <w:i w:val="false"/>
          <w:iCs w:val="false"/>
          <w:color w:val="333333"/>
          <w:sz w:val="19"/>
          <w:szCs w:val="19"/>
        </w:rPr>
        <w:t xml:space="preserve">2.1 Top C2 Domains</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gridCol w:w="100"/>
      </w:tblGrid>
      <w:tr>
        <w:trPr>
          <w:tblHeader/>
        </w:trPr>
        <w:tc>
          <w:tcPr>
            <w:tcW w:type="pct" w:w="38%"/>
            <w:tcBorders>
              <w:top w:val="single" w:color="CCCCCC" w:sz="1"/>
              <w:left w:val="single" w:color="CCCCCC" w:sz="1"/>
              <w:bottom w:val="single" w:color="CCCCCC" w:sz="1"/>
              <w:right w:val="single" w:color="CCCCCC" w:sz="1"/>
            </w:tcBorders>
            <w:shd w:fill="FA4616"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Domain</w:t>
            </w:r>
          </w:p>
        </w:tc>
        <w:tc>
          <w:tcPr>
            <w:tcW w:type="pct" w:w="23%"/>
            <w:tcBorders>
              <w:top w:val="single" w:color="CCCCCC" w:sz="1"/>
              <w:left w:val="single" w:color="CCCCCC" w:sz="1"/>
              <w:bottom w:val="single" w:color="CCCCCC" w:sz="1"/>
              <w:right w:val="single" w:color="CCCCCC" w:sz="1"/>
            </w:tcBorders>
            <w:shd w:fill="FA4616"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Category / Threat ID</w:t>
            </w:r>
          </w:p>
        </w:tc>
        <w:tc>
          <w:tcPr>
            <w:tcW w:type="pct" w:w="10%"/>
            <w:tcBorders>
              <w:top w:val="single" w:color="CCCCCC" w:sz="1"/>
              <w:left w:val="single" w:color="CCCCCC" w:sz="1"/>
              <w:bottom w:val="single" w:color="CCCCCC" w:sz="1"/>
              <w:right w:val="single" w:color="CCCCCC" w:sz="1"/>
            </w:tcBorders>
            <w:shd w:fill="FA4616"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Hits</w:t>
            </w:r>
          </w:p>
        </w:tc>
        <w:tc>
          <w:tcPr>
            <w:tcW w:type="pct" w:w="29%"/>
            <w:tcBorders>
              <w:top w:val="single" w:color="CCCCCC" w:sz="1"/>
              <w:left w:val="single" w:color="CCCCCC" w:sz="1"/>
              <w:bottom w:val="single" w:color="CCCCCC" w:sz="1"/>
              <w:right w:val="single" w:color="CCCCCC" w:sz="1"/>
            </w:tcBorders>
            <w:shd w:fill="FA4616"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Risk Note</w:t>
            </w:r>
          </w:p>
        </w:tc>
      </w:tr>
      <w:tr>
        <w:tc>
          <w:tcPr>
            <w:tcW w:type="pct" w:w="38%"/>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intempio.com (TID 397955421)</w:t>
            </w:r>
          </w:p>
        </w:tc>
        <w:tc>
          <w:tcPr>
            <w:tcW w:type="pct" w:w="23%"/>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DNS C2 / Spyware</w:t>
            </w:r>
          </w:p>
        </w:tc>
        <w:tc>
          <w:tcPr>
            <w:tcW w:type="pct" w:w="1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16,019</w:t>
            </w:r>
          </w:p>
        </w:tc>
        <w:tc>
          <w:tcPr>
            <w:tcW w:type="pct" w:w="29%"/>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
            </w:r>
          </w:p>
        </w:tc>
      </w:tr>
      <w:tr>
        <w:tc>
          <w:tcPr>
            <w:tcW w:type="pct" w:w="38%"/>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okta-ema.com (TID 397955422)</w:t>
            </w:r>
          </w:p>
        </w:tc>
        <w:tc>
          <w:tcPr>
            <w:tcW w:type="pct" w:w="23%"/>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Okta Impersonation</w:t>
            </w:r>
          </w:p>
        </w:tc>
        <w:tc>
          <w:tcPr>
            <w:tcW w:type="pct" w:w="10%"/>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1,163</w:t>
            </w:r>
          </w:p>
        </w:tc>
        <w:tc>
          <w:tcPr>
            <w:tcW w:type="pct" w:w="29%"/>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Identity phishing</w:t>
            </w:r>
          </w:p>
        </w:tc>
      </w:tr>
      <w:tr>
        <w:tc>
          <w:tcPr>
            <w:tcW w:type="pct" w:w="38%"/>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idexdmz.com (TID 397955423)</w:t>
            </w:r>
          </w:p>
        </w:tc>
        <w:tc>
          <w:tcPr>
            <w:tcW w:type="pct" w:w="23%"/>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IDEX Corporation Brand Squatting</w:t>
            </w:r>
          </w:p>
        </w:tc>
        <w:tc>
          <w:tcPr>
            <w:tcW w:type="pct" w:w="1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365</w:t>
            </w:r>
          </w:p>
        </w:tc>
        <w:tc>
          <w:tcPr>
            <w:tcW w:type="pct" w:w="29%"/>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CC0000"/>
                <w:sz w:val="18"/>
                <w:szCs w:val="18"/>
              </w:rPr>
              <w:t xml:space="preserve">⚠ CRITICAL</w:t>
            </w:r>
          </w:p>
        </w:tc>
      </w:tr>
    </w:tbl>
    <w:p>
      <w:pPr>
        <w:spacing w:after="120" w:before="0"/>
      </w:pPr>
      <w:r>
        <w:rPr>
          <w:rFonts w:ascii="Arial" w:cs="Arial" w:eastAsia="Arial" w:hAnsi="Arial"/>
          <w:b w:val="false"/>
          <w:bCs w:val="false"/>
          <w:i w:val="false"/>
          <w:iCs w:val="false"/>
          <w:color w:val="333333"/>
          <w:sz w:val="20"/>
          <w:szCs w:val="20"/>
        </w:rPr>
        <w:t xml:space="preserve"> </w:t>
      </w:r>
    </w:p>
    <w:p>
      <w:pPr>
        <w:spacing w:after="60" w:before="120"/>
      </w:pPr>
      <w:r>
        <w:rPr>
          <w:rFonts w:ascii="Arial" w:cs="Arial" w:eastAsia="Arial" w:hAnsi="Arial"/>
          <w:b/>
          <w:bCs/>
          <w:i w:val="false"/>
          <w:iCs w:val="false"/>
          <w:color w:val="333333"/>
          <w:sz w:val="19"/>
          <w:szCs w:val="19"/>
        </w:rPr>
        <w:t xml:space="preserve">2.2 Top Compromised Source IPs</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gridCol w:w="100"/>
        <w:gridCol w:w="100"/>
      </w:tblGrid>
      <w:tr>
        <w:trPr>
          <w:tblHeader/>
        </w:trPr>
        <w:tc>
          <w:tcPr>
            <w:tcW w:type="pct" w:w="16%"/>
            <w:tcBorders>
              <w:top w:val="single" w:color="CCCCCC" w:sz="1"/>
              <w:left w:val="single" w:color="CCCCCC" w:sz="1"/>
              <w:bottom w:val="single" w:color="CCCCCC" w:sz="1"/>
              <w:right w:val="single" w:color="CCCCCC" w:sz="1"/>
            </w:tcBorders>
            <w:shd w:fill="FA4616"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Source IP</w:t>
            </w:r>
          </w:p>
        </w:tc>
        <w:tc>
          <w:tcPr>
            <w:tcW w:type="pct" w:w="21%"/>
            <w:tcBorders>
              <w:top w:val="single" w:color="CCCCCC" w:sz="1"/>
              <w:left w:val="single" w:color="CCCCCC" w:sz="1"/>
              <w:bottom w:val="single" w:color="CCCCCC" w:sz="1"/>
              <w:right w:val="single" w:color="CCCCCC" w:sz="1"/>
            </w:tcBorders>
            <w:shd w:fill="FA4616"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Zone</w:t>
            </w:r>
          </w:p>
        </w:tc>
        <w:tc>
          <w:tcPr>
            <w:tcW w:type="pct" w:w="10%"/>
            <w:tcBorders>
              <w:top w:val="single" w:color="CCCCCC" w:sz="1"/>
              <w:left w:val="single" w:color="CCCCCC" w:sz="1"/>
              <w:bottom w:val="single" w:color="CCCCCC" w:sz="1"/>
              <w:right w:val="single" w:color="CCCCCC" w:sz="1"/>
            </w:tcBorders>
            <w:shd w:fill="FA4616"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Hits</w:t>
            </w:r>
          </w:p>
        </w:tc>
        <w:tc>
          <w:tcPr>
            <w:tcW w:type="pct" w:w="14%"/>
            <w:tcBorders>
              <w:top w:val="single" w:color="CCCCCC" w:sz="1"/>
              <w:left w:val="single" w:color="CCCCCC" w:sz="1"/>
              <w:bottom w:val="single" w:color="CCCCCC" w:sz="1"/>
              <w:right w:val="single" w:color="CCCCCC" w:sz="1"/>
            </w:tcBorders>
            <w:shd w:fill="FA4616"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Unique Threats</w:t>
            </w:r>
          </w:p>
        </w:tc>
        <w:tc>
          <w:tcPr>
            <w:tcW w:type="pct" w:w="39%"/>
            <w:tcBorders>
              <w:top w:val="single" w:color="CCCCCC" w:sz="1"/>
              <w:left w:val="single" w:color="CCCCCC" w:sz="1"/>
              <w:bottom w:val="single" w:color="CCCCCC" w:sz="1"/>
              <w:right w:val="single" w:color="CCCCCC" w:sz="1"/>
            </w:tcBorders>
            <w:shd w:fill="FA4616"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Primary C2 Domains</w:t>
            </w:r>
          </w:p>
        </w:tc>
      </w:tr>
      <w:tr>
        <w:tc>
          <w:tcPr>
            <w:tcW w:type="pct" w:w="16%"/>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10.57.11.173</w:t>
            </w:r>
          </w:p>
        </w:tc>
        <w:tc>
          <w:tcPr>
            <w:tcW w:type="pct" w:w="21%"/>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Internal → MPLS</w:t>
            </w:r>
          </w:p>
        </w:tc>
        <w:tc>
          <w:tcPr>
            <w:tcW w:type="pct" w:w="1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24,102</w:t>
            </w:r>
          </w:p>
        </w:tc>
        <w:tc>
          <w:tcPr>
            <w:tcW w:type="pct" w:w="14%"/>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24</w:t>
            </w:r>
          </w:p>
        </w:tc>
        <w:tc>
          <w:tcPr>
            <w:tcW w:type="pct" w:w="39%"/>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azure* / pbx* / officeaddons</w:t>
            </w:r>
          </w:p>
        </w:tc>
      </w:tr>
      <w:tr>
        <w:tc>
          <w:tcPr>
            <w:tcW w:type="pct" w:w="16%"/>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10.57.11.174</w:t>
            </w:r>
          </w:p>
        </w:tc>
        <w:tc>
          <w:tcPr>
            <w:tcW w:type="pct" w:w="21%"/>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Internal → MPLS</w:t>
            </w:r>
          </w:p>
        </w:tc>
        <w:tc>
          <w:tcPr>
            <w:tcW w:type="pct" w:w="10%"/>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23,895</w:t>
            </w:r>
          </w:p>
        </w:tc>
        <w:tc>
          <w:tcPr>
            <w:tcW w:type="pct" w:w="14%"/>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24</w:t>
            </w:r>
          </w:p>
        </w:tc>
        <w:tc>
          <w:tcPr>
            <w:tcW w:type="pct" w:w="39%"/>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azure* / pbx* / officeaddons</w:t>
            </w:r>
          </w:p>
        </w:tc>
      </w:tr>
      <w:tr>
        <w:tc>
          <w:tcPr>
            <w:tcW w:type="pct" w:w="16%"/>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10.100.10.201</w:t>
            </w:r>
          </w:p>
        </w:tc>
        <w:tc>
          <w:tcPr>
            <w:tcW w:type="pct" w:w="21%"/>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Internal</w:t>
            </w:r>
          </w:p>
        </w:tc>
        <w:tc>
          <w:tcPr>
            <w:tcW w:type="pct" w:w="1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1,250</w:t>
            </w:r>
          </w:p>
        </w:tc>
        <w:tc>
          <w:tcPr>
            <w:tcW w:type="pct" w:w="14%"/>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5</w:t>
            </w:r>
          </w:p>
        </w:tc>
        <w:tc>
          <w:tcPr>
            <w:tcW w:type="pct" w:w="39%"/>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idexna\bidservices</w:t>
            </w:r>
          </w:p>
        </w:tc>
      </w:tr>
      <w:tr>
        <w:tc>
          <w:tcPr>
            <w:tcW w:type="pct" w:w="16%"/>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10.65.112.240</w:t>
            </w:r>
          </w:p>
        </w:tc>
        <w:tc>
          <w:tcPr>
            <w:tcW w:type="pct" w:w="21%"/>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L5-BU_OFFICE</w:t>
            </w:r>
          </w:p>
        </w:tc>
        <w:tc>
          <w:tcPr>
            <w:tcW w:type="pct" w:w="10%"/>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940</w:t>
            </w:r>
          </w:p>
        </w:tc>
        <w:tc>
          <w:tcPr>
            <w:tcW w:type="pct" w:w="14%"/>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2</w:t>
            </w:r>
          </w:p>
        </w:tc>
        <w:tc>
          <w:tcPr>
            <w:tcW w:type="pct" w:w="39%"/>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idexcorpnet\jseuntiens</w:t>
            </w:r>
          </w:p>
        </w:tc>
      </w:tr>
    </w:tbl>
    <w:p>
      <w:pPr>
        <w:spacing w:after="120" w:before="0"/>
      </w:pPr>
      <w:r>
        <w:rPr>
          <w:rFonts w:ascii="Arial" w:cs="Arial" w:eastAsia="Arial" w:hAnsi="Arial"/>
          <w:b w:val="false"/>
          <w:bCs w:val="false"/>
          <w:i w:val="false"/>
          <w:iCs w:val="false"/>
          <w:color w:val="333333"/>
          <w:sz w:val="20"/>
          <w:szCs w:val="20"/>
        </w:rPr>
        <w:t xml:space="preserve"> </w:t>
      </w:r>
    </w:p>
    <w:p>
      <w:pPr>
        <w:spacing w:after="60" w:before="120"/>
      </w:pPr>
      <w:r>
        <w:rPr>
          <w:rFonts w:ascii="Arial" w:cs="Arial" w:eastAsia="Arial" w:hAnsi="Arial"/>
          <w:b/>
          <w:bCs/>
          <w:i w:val="false"/>
          <w:iCs w:val="false"/>
          <w:color w:val="333333"/>
          <w:sz w:val="19"/>
          <w:szCs w:val="19"/>
        </w:rPr>
        <w:t xml:space="preserve">2.3 WildFire Detections</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tblGrid>
      <w:tr>
        <w:trPr>
          <w:tblHeader/>
        </w:trPr>
        <w:tc>
          <w:tcPr>
            <w:tcW w:type="pct" w:w="40%"/>
            <w:tcBorders>
              <w:top w:val="single" w:color="CCCCCC" w:sz="1"/>
              <w:left w:val="single" w:color="CCCCCC" w:sz="1"/>
              <w:bottom w:val="single" w:color="CCCCCC" w:sz="1"/>
              <w:right w:val="single" w:color="CCCCCC" w:sz="1"/>
            </w:tcBorders>
            <w:shd w:fill="FA4616"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Detection Type</w:t>
            </w:r>
          </w:p>
        </w:tc>
        <w:tc>
          <w:tcPr>
            <w:tcW w:type="pct" w:w="20%"/>
            <w:tcBorders>
              <w:top w:val="single" w:color="CCCCCC" w:sz="1"/>
              <w:left w:val="single" w:color="CCCCCC" w:sz="1"/>
              <w:bottom w:val="single" w:color="CCCCCC" w:sz="1"/>
              <w:right w:val="single" w:color="CCCCCC" w:sz="1"/>
            </w:tcBorders>
            <w:shd w:fill="FA4616"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Count</w:t>
            </w:r>
          </w:p>
        </w:tc>
        <w:tc>
          <w:tcPr>
            <w:tcW w:type="pct" w:w="40%"/>
            <w:tcBorders>
              <w:top w:val="single" w:color="CCCCCC" w:sz="1"/>
              <w:left w:val="single" w:color="CCCCCC" w:sz="1"/>
              <w:bottom w:val="single" w:color="CCCCCC" w:sz="1"/>
              <w:right w:val="single" w:color="CCCCCC" w:sz="1"/>
            </w:tcBorders>
            <w:shd w:fill="FA4616"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Severity / Note</w:t>
            </w:r>
          </w:p>
        </w:tc>
      </w:tr>
      <w:tr>
        <w:tc>
          <w:tcPr>
            <w:tcW w:type="pct" w:w="4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DNS Malware / Spyware</w:t>
            </w:r>
          </w:p>
        </w:tc>
        <w:tc>
          <w:tcPr>
            <w:tcW w:type="pct" w:w="2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8,825,702</w:t>
            </w:r>
          </w:p>
        </w:tc>
        <w:tc>
          <w:tcPr>
            <w:tcW w:type="pct" w:w="4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Aggregate statsv2</w:t>
            </w:r>
          </w:p>
        </w:tc>
      </w:tr>
      <w:tr>
        <w:tc>
          <w:tcPr>
            <w:tcW w:type="pct" w:w="40%"/>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DNS C2 / Spyware</w:t>
            </w:r>
          </w:p>
        </w:tc>
        <w:tc>
          <w:tcPr>
            <w:tcW w:type="pct" w:w="20%"/>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322,389</w:t>
            </w:r>
          </w:p>
        </w:tc>
        <w:tc>
          <w:tcPr>
            <w:tcW w:type="pct" w:w="40%"/>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Aggregate statsv2</w:t>
            </w:r>
          </w:p>
        </w:tc>
      </w:tr>
      <w:tr>
        <w:tc>
          <w:tcPr>
            <w:tcW w:type="pct" w:w="4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Brute Force (vuln)</w:t>
            </w:r>
          </w:p>
        </w:tc>
        <w:tc>
          <w:tcPr>
            <w:tcW w:type="pct" w:w="2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44,838</w:t>
            </w:r>
          </w:p>
        </w:tc>
        <w:tc>
          <w:tcPr>
            <w:tcW w:type="pct" w:w="4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E07800"/>
                <w:sz w:val="18"/>
                <w:szCs w:val="18"/>
              </w:rPr>
              <w:t xml:space="preserve">HIGH</w:t>
            </w:r>
          </w:p>
        </w:tc>
      </w:tr>
      <w:tr>
        <w:tc>
          <w:tcPr>
            <w:tcW w:type="pct" w:w="40%"/>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Code Execution</w:t>
            </w:r>
          </w:p>
        </w:tc>
        <w:tc>
          <w:tcPr>
            <w:tcW w:type="pct" w:w="20%"/>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200</w:t>
            </w:r>
          </w:p>
        </w:tc>
        <w:tc>
          <w:tcPr>
            <w:tcW w:type="pct" w:w="40%"/>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CC0000"/>
                <w:sz w:val="18"/>
                <w:szCs w:val="18"/>
              </w:rPr>
              <w:t xml:space="preserve">CRITICAL</w:t>
            </w:r>
          </w:p>
        </w:tc>
      </w:tr>
      <w:tr>
        <w:tc>
          <w:tcPr>
            <w:tcW w:type="pct" w:w="4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Information Leak</w:t>
            </w:r>
          </w:p>
        </w:tc>
        <w:tc>
          <w:tcPr>
            <w:tcW w:type="pct" w:w="2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60</w:t>
            </w:r>
          </w:p>
        </w:tc>
        <w:tc>
          <w:tcPr>
            <w:tcW w:type="pct" w:w="4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CC0000"/>
                <w:sz w:val="18"/>
                <w:szCs w:val="18"/>
              </w:rPr>
              <w:t xml:space="preserve">CRITICAL</w:t>
            </w:r>
          </w:p>
        </w:tc>
      </w:tr>
      <w:tr>
        <w:tc>
          <w:tcPr>
            <w:tcW w:type="pct" w:w="40%"/>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PE Virus (malware delivery)</w:t>
            </w:r>
          </w:p>
        </w:tc>
        <w:tc>
          <w:tcPr>
            <w:tcW w:type="pct" w:w="20%"/>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20</w:t>
            </w:r>
          </w:p>
        </w:tc>
        <w:tc>
          <w:tcPr>
            <w:tcW w:type="pct" w:w="40%"/>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ms-ds-smbv3 (11), web-browsing (9)</w:t>
            </w:r>
          </w:p>
        </w:tc>
      </w:tr>
    </w:tbl>
    <w:p>
      <w:pPr>
        <w:spacing w:after="120" w:before="0"/>
      </w:pPr>
      <w:r>
        <w:rPr>
          <w:rFonts w:ascii="Arial" w:cs="Arial" w:eastAsia="Arial" w:hAnsi="Arial"/>
          <w:b w:val="false"/>
          <w:bCs w:val="false"/>
          <w:i w:val="false"/>
          <w:iCs w:val="false"/>
          <w:color w:val="333333"/>
          <w:sz w:val="20"/>
          <w:szCs w:val="20"/>
        </w:rPr>
        <w:t xml:space="preserve"> </w:t>
      </w:r>
    </w:p>
    <w:p>
      <w:pPr>
        <w:spacing w:after="60" w:before="120"/>
      </w:pPr>
      <w:r>
        <w:rPr>
          <w:rFonts w:ascii="Arial" w:cs="Arial" w:eastAsia="Arial" w:hAnsi="Arial"/>
          <w:b/>
          <w:bCs/>
          <w:i w:val="false"/>
          <w:iCs w:val="false"/>
          <w:color w:val="333333"/>
          <w:sz w:val="19"/>
          <w:szCs w:val="19"/>
        </w:rPr>
        <w:t xml:space="preserve">2.4 Named C2 Threats (Security Lifecycle Review)</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gridCol w:w="100"/>
      </w:tblGrid>
      <w:tr>
        <w:trPr>
          <w:tblHeader/>
        </w:trPr>
        <w:tc>
          <w:tcPr>
            <w:tcW w:type="pct" w:w="40%"/>
            <w:tcBorders>
              <w:top w:val="single" w:color="CCCCCC" w:sz="1"/>
              <w:left w:val="single" w:color="CCCCCC" w:sz="1"/>
              <w:bottom w:val="single" w:color="CCCCCC" w:sz="1"/>
              <w:right w:val="single" w:color="CCCCCC" w:sz="1"/>
            </w:tcBorders>
            <w:shd w:fill="FA4616"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Threat Name</w:t>
            </w:r>
          </w:p>
        </w:tc>
        <w:tc>
          <w:tcPr>
            <w:tcW w:type="pct" w:w="13%"/>
            <w:tcBorders>
              <w:top w:val="single" w:color="CCCCCC" w:sz="1"/>
              <w:left w:val="single" w:color="CCCCCC" w:sz="1"/>
              <w:bottom w:val="single" w:color="CCCCCC" w:sz="1"/>
              <w:right w:val="single" w:color="CCCCCC" w:sz="1"/>
            </w:tcBorders>
            <w:shd w:fill="FA4616"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Detections</w:t>
            </w:r>
          </w:p>
        </w:tc>
        <w:tc>
          <w:tcPr>
            <w:tcW w:type="pct" w:w="22%"/>
            <w:tcBorders>
              <w:top w:val="single" w:color="CCCCCC" w:sz="1"/>
              <w:left w:val="single" w:color="CCCCCC" w:sz="1"/>
              <w:bottom w:val="single" w:color="CCCCCC" w:sz="1"/>
              <w:right w:val="single" w:color="CCCCCC" w:sz="1"/>
            </w:tcBorders>
            <w:shd w:fill="FA4616"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Category</w:t>
            </w:r>
          </w:p>
        </w:tc>
        <w:tc>
          <w:tcPr>
            <w:tcW w:type="pct" w:w="25%"/>
            <w:tcBorders>
              <w:top w:val="single" w:color="CCCCCC" w:sz="1"/>
              <w:left w:val="single" w:color="CCCCCC" w:sz="1"/>
              <w:bottom w:val="single" w:color="CCCCCC" w:sz="1"/>
              <w:right w:val="single" w:color="CCCCCC" w:sz="1"/>
            </w:tcBorders>
            <w:shd w:fill="FA4616"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Protocol</w:t>
            </w:r>
          </w:p>
        </w:tc>
      </w:tr>
      <w:tr>
        <w:tc>
          <w:tcPr>
            <w:tcW w:type="pct" w:w="4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BPFDoor Beacon Detection</w:t>
            </w:r>
          </w:p>
        </w:tc>
        <w:tc>
          <w:tcPr>
            <w:tcW w:type="pct" w:w="13%"/>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36</w:t>
            </w:r>
          </w:p>
        </w:tc>
        <w:tc>
          <w:tcPr>
            <w:tcW w:type="pct" w:w="22%"/>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spyware</w:t>
            </w:r>
          </w:p>
        </w:tc>
        <w:tc>
          <w:tcPr>
            <w:tcW w:type="pct" w:w="25%"/>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ping</w:t>
            </w:r>
          </w:p>
        </w:tc>
      </w:tr>
      <w:tr>
        <w:tc>
          <w:tcPr>
            <w:tcW w:type="pct" w:w="40%"/>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Suspicious User-Agent Detection</w:t>
            </w:r>
          </w:p>
        </w:tc>
        <w:tc>
          <w:tcPr>
            <w:tcW w:type="pct" w:w="13%"/>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16</w:t>
            </w:r>
          </w:p>
        </w:tc>
        <w:tc>
          <w:tcPr>
            <w:tcW w:type="pct" w:w="22%"/>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spyware</w:t>
            </w:r>
          </w:p>
        </w:tc>
        <w:tc>
          <w:tcPr>
            <w:tcW w:type="pct" w:w="25%"/>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web-browsing</w:t>
            </w:r>
          </w:p>
        </w:tc>
      </w:tr>
      <w:tr>
        <w:tc>
          <w:tcPr>
            <w:tcW w:type="pct" w:w="4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WD My Cloud Backdoor</w:t>
            </w:r>
          </w:p>
        </w:tc>
        <w:tc>
          <w:tcPr>
            <w:tcW w:type="pct" w:w="13%"/>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14</w:t>
            </w:r>
          </w:p>
        </w:tc>
        <w:tc>
          <w:tcPr>
            <w:tcW w:type="pct" w:w="22%"/>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backdoor</w:t>
            </w:r>
          </w:p>
        </w:tc>
        <w:tc>
          <w:tcPr>
            <w:tcW w:type="pct" w:w="25%"/>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web-browsing</w:t>
            </w:r>
          </w:p>
        </w:tc>
      </w:tr>
      <w:tr>
        <w:tc>
          <w:tcPr>
            <w:tcW w:type="pct" w:w="40%"/>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ZeroAccess.Gen C2 Traffic</w:t>
            </w:r>
          </w:p>
        </w:tc>
        <w:tc>
          <w:tcPr>
            <w:tcW w:type="pct" w:w="13%"/>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5</w:t>
            </w:r>
          </w:p>
        </w:tc>
        <w:tc>
          <w:tcPr>
            <w:tcW w:type="pct" w:w="22%"/>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botnet</w:t>
            </w:r>
          </w:p>
        </w:tc>
        <w:tc>
          <w:tcPr>
            <w:tcW w:type="pct" w:w="25%"/>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unknown-udp</w:t>
            </w:r>
          </w:p>
        </w:tc>
      </w:tr>
      <w:tr>
        <w:tc>
          <w:tcPr>
            <w:tcW w:type="pct" w:w="4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NJRat.Gen C2 Traffic</w:t>
            </w:r>
          </w:p>
        </w:tc>
        <w:tc>
          <w:tcPr>
            <w:tcW w:type="pct" w:w="13%"/>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2</w:t>
            </w:r>
          </w:p>
        </w:tc>
        <w:tc>
          <w:tcPr>
            <w:tcW w:type="pct" w:w="22%"/>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backdoor</w:t>
            </w:r>
          </w:p>
        </w:tc>
        <w:tc>
          <w:tcPr>
            <w:tcW w:type="pct" w:w="25%"/>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unknown-tcp</w:t>
            </w:r>
          </w:p>
        </w:tc>
      </w:tr>
      <w:tr>
        <w:tc>
          <w:tcPr>
            <w:tcW w:type="pct" w:w="40%"/>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Gh0st.Gen C2 Traffic</w:t>
            </w:r>
          </w:p>
        </w:tc>
        <w:tc>
          <w:tcPr>
            <w:tcW w:type="pct" w:w="13%"/>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2</w:t>
            </w:r>
          </w:p>
        </w:tc>
        <w:tc>
          <w:tcPr>
            <w:tcW w:type="pct" w:w="22%"/>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backdoor</w:t>
            </w:r>
          </w:p>
        </w:tc>
        <w:tc>
          <w:tcPr>
            <w:tcW w:type="pct" w:w="25%"/>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unknown-tcp</w:t>
            </w:r>
          </w:p>
        </w:tc>
      </w:tr>
      <w:tr>
        <w:tc>
          <w:tcPr>
            <w:tcW w:type="pct" w:w="4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DNS Tunnel Data Infiltration</w:t>
            </w:r>
          </w:p>
        </w:tc>
        <w:tc>
          <w:tcPr>
            <w:tcW w:type="pct" w:w="13%"/>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2</w:t>
            </w:r>
          </w:p>
        </w:tc>
        <w:tc>
          <w:tcPr>
            <w:tcW w:type="pct" w:w="22%"/>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spyware</w:t>
            </w:r>
          </w:p>
        </w:tc>
        <w:tc>
          <w:tcPr>
            <w:tcW w:type="pct" w:w="25%"/>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dns-base</w:t>
            </w:r>
          </w:p>
        </w:tc>
      </w:tr>
    </w:tbl>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tblGrid>
      <w:tr>
        <w:tc>
          <w:tcPr>
            <w:tcW w:type="pct" w:w="100%"/>
            <w:tcBorders>
              <w:top w:val="single" w:color="CCCCCC" w:sz="1"/>
              <w:left w:val="single" w:color="CCCCCC" w:sz="1"/>
              <w:bottom w:val="single" w:color="CCCCCC" w:sz="1"/>
              <w:right w:val="single" w:color="CCCCCC" w:sz="1"/>
            </w:tcBorders>
            <w:shd w:fill="FA4616" w:color="auto" w:val="clear"/>
            <w:tcMar>
              <w:top w:type="dxa" w:w="80"/>
              <w:left w:type="dxa" w:w="120"/>
              <w:bottom w:type="dxa" w:w="80"/>
              <w:right w:type="dxa" w:w="120"/>
            </w:tcMar>
          </w:tcPr>
          <w:p>
            <w:pPr>
              <w:spacing w:after="80" w:before="80"/>
            </w:pPr>
            <w:r>
              <w:rPr>
                <w:rFonts w:ascii="Arial" w:cs="Arial" w:eastAsia="Arial" w:hAnsi="Arial"/>
                <w:b/>
                <w:bCs/>
                <w:i w:val="false"/>
                <w:iCs w:val="false"/>
                <w:color w:val="FFFFFF"/>
                <w:sz w:val="18"/>
                <w:szCs w:val="18"/>
              </w:rPr>
              <w:t xml:space="preserve">⚠  SO WHAT — WHY THIS MATTERS</w:t>
            </w:r>
          </w:p>
        </w:tc>
      </w:tr>
      <w:tr>
        <w:tc>
          <w:tcPr>
            <w:tcW w:type="pct" w:w="100%"/>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pPr>
            <w:r>
              <w:rPr>
                <w:rFonts w:ascii="Arial" w:cs="Arial" w:eastAsia="Arial" w:hAnsi="Arial"/>
                <w:b/>
                <w:bCs/>
                <w:i w:val="false"/>
                <w:iCs w:val="false"/>
                <w:color w:val="FA4616"/>
                <w:sz w:val="20"/>
                <w:szCs w:val="20"/>
              </w:rPr>
              <w:t xml:space="preserve">› </w:t>
            </w:r>
            <w:r>
              <w:rPr>
                <w:rFonts w:ascii="Arial" w:cs="Arial" w:eastAsia="Arial" w:hAnsi="Arial"/>
                <w:b w:val="false"/>
                <w:bCs w:val="false"/>
                <w:i w:val="false"/>
                <w:iCs w:val="false"/>
                <w:color w:val="333333"/>
                <w:sz w:val="20"/>
                <w:szCs w:val="20"/>
              </w:rPr>
              <w:t xml:space="preserve">idexdmz.com is not a generic C2 domain — someone specifically registered a domain designed to look like IDEX Corporation's own infrastructure. This means IDEX Corporation is a deliberate, named victim, not collateral damage.</w:t>
            </w:r>
          </w:p>
        </w:tc>
      </w:tr>
      <w:tr>
        <w:tc>
          <w:tcPr>
            <w:tcW w:type="pct" w:w="1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pPr>
            <w:r>
              <w:rPr>
                <w:rFonts w:ascii="Arial" w:cs="Arial" w:eastAsia="Arial" w:hAnsi="Arial"/>
                <w:b/>
                <w:bCs/>
                <w:i w:val="false"/>
                <w:iCs w:val="false"/>
                <w:color w:val="FA4616"/>
                <w:sz w:val="20"/>
                <w:szCs w:val="20"/>
              </w:rPr>
              <w:t xml:space="preserve">› </w:t>
            </w:r>
            <w:r>
              <w:rPr>
                <w:rFonts w:ascii="Arial" w:cs="Arial" w:eastAsia="Arial" w:hAnsi="Arial"/>
                <w:b w:val="false"/>
                <w:bCs w:val="false"/>
                <w:i w:val="false"/>
                <w:iCs w:val="false"/>
                <w:color w:val="333333"/>
                <w:sz w:val="20"/>
                <w:szCs w:val="20"/>
              </w:rPr>
              <w:t xml:space="preserve">okta-ema.com is a fake Okta login page. Any employee who entered their password there handed an attacker the keys to every system protected by IDEX Corporation's single sign-on. 1,163 internal hits means this isn't theoretical.</w:t>
            </w:r>
          </w:p>
        </w:tc>
      </w:tr>
      <w:tr>
        <w:tc>
          <w:tcPr>
            <w:tcW w:type="pct" w:w="100%"/>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pPr>
            <w:r>
              <w:rPr>
                <w:rFonts w:ascii="Arial" w:cs="Arial" w:eastAsia="Arial" w:hAnsi="Arial"/>
                <w:b/>
                <w:bCs/>
                <w:i w:val="false"/>
                <w:iCs w:val="false"/>
                <w:color w:val="FA4616"/>
                <w:sz w:val="20"/>
                <w:szCs w:val="20"/>
              </w:rPr>
              <w:t xml:space="preserve">› </w:t>
            </w:r>
            <w:r>
              <w:rPr>
                <w:rFonts w:ascii="Arial" w:cs="Arial" w:eastAsia="Arial" w:hAnsi="Arial"/>
                <w:b w:val="false"/>
                <w:bCs w:val="false"/>
                <w:i w:val="false"/>
                <w:iCs w:val="false"/>
                <w:color w:val="333333"/>
                <w:sz w:val="20"/>
                <w:szCs w:val="20"/>
              </w:rPr>
              <w:t xml:space="preserve">BPFDoor is a sophisticated Linux backdoor used by nation-state threat actors. Its presence in DNS logs means something on your network may already be running it.</w:t>
            </w:r>
          </w:p>
        </w:tc>
      </w:tr>
      <w:tr>
        <w:tc>
          <w:tcPr>
            <w:tcW w:type="pct" w:w="1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pPr>
            <w:r>
              <w:rPr>
                <w:rFonts w:ascii="Arial" w:cs="Arial" w:eastAsia="Arial" w:hAnsi="Arial"/>
                <w:b/>
                <w:bCs/>
                <w:i w:val="false"/>
                <w:iCs w:val="false"/>
                <w:color w:val="FA4616"/>
                <w:sz w:val="20"/>
                <w:szCs w:val="20"/>
              </w:rPr>
              <w:t xml:space="preserve">› </w:t>
            </w:r>
            <w:r>
              <w:rPr>
                <w:rFonts w:ascii="Arial" w:cs="Arial" w:eastAsia="Arial" w:hAnsi="Arial"/>
                <w:b w:val="false"/>
                <w:bCs w:val="false"/>
                <w:i w:val="false"/>
                <w:iCs w:val="false"/>
                <w:color w:val="333333"/>
                <w:sz w:val="20"/>
                <w:szCs w:val="20"/>
              </w:rPr>
              <w:t xml:space="preserve">CRITICAL: 10.57.11.173 and 10.57.11.174 are DNS resolvers forwarding on behalf of real infected endpoints. Go to those DNS servers, enable debug logging, and filter query logs for the malicious domains — every client IP that appears is a confirmed infected host.</w:t>
            </w:r>
          </w:p>
        </w:tc>
      </w:tr>
    </w:tbl>
    <w:p>
      <w:r>
        <w:br w:type="page"/>
      </w:r>
    </w:p>
    <w:p>
      <w:pPr>
        <w:pBdr>
          <w:bottom w:val="single" w:color="FA4616" w:sz="6"/>
        </w:pBdr>
        <w:spacing w:after="120" w:before="280"/>
      </w:pPr>
      <w:r>
        <w:rPr>
          <w:rFonts w:ascii="Arial" w:cs="Arial" w:eastAsia="Arial" w:hAnsi="Arial"/>
          <w:b/>
          <w:bCs/>
          <w:i w:val="false"/>
          <w:iCs w:val="false"/>
          <w:color w:val="FA4616"/>
          <w:sz w:val="26"/>
          <w:szCs w:val="26"/>
        </w:rPr>
        <w:t xml:space="preserve">3. Vulnerabilities &amp; Named User Attribution</w:t>
      </w:r>
    </w:p>
    <w:p>
      <w:pPr>
        <w:spacing w:after="120" w:before="40"/>
        <w:jc w:val="left"/>
      </w:pPr>
      <w:r>
        <w:rPr>
          <w:rFonts w:ascii="Arial" w:cs="Arial" w:eastAsia="Arial" w:hAnsi="Arial"/>
          <w:b w:val="false"/>
          <w:bCs w:val="false"/>
          <w:i w:val="false"/>
          <w:iCs w:val="false"/>
          <w:color w:val="333333"/>
          <w:sz w:val="20"/>
          <w:szCs w:val="20"/>
        </w:rPr>
        <w:t xml:space="preserve">104259 vulnerability events identified from internal zones. Three named users confirmed via the 'Source User' field — a critical indicator of endpoint compromise or policy misconfiguration.</w:t>
      </w:r>
    </w:p>
    <w:p>
      <w:pPr>
        <w:spacing w:after="120" w:before="0"/>
      </w:pPr>
      <w:r>
        <w:rPr>
          <w:rFonts w:ascii="Arial" w:cs="Arial" w:eastAsia="Arial" w:hAnsi="Arial"/>
          <w:b w:val="false"/>
          <w:bCs w:val="false"/>
          <w:i w:val="false"/>
          <w:iCs w:val="false"/>
          <w:color w:val="333333"/>
          <w:sz w:val="20"/>
          <w:szCs w:val="20"/>
        </w:rPr>
        <w:t xml:space="preserve"> </w:t>
      </w:r>
    </w:p>
    <w:p>
      <w:pPr>
        <w:spacing w:after="60" w:before="120"/>
      </w:pPr>
      <w:r>
        <w:rPr>
          <w:rFonts w:ascii="Arial" w:cs="Arial" w:eastAsia="Arial" w:hAnsi="Arial"/>
          <w:b/>
          <w:bCs/>
          <w:i w:val="false"/>
          <w:iCs w:val="false"/>
          <w:color w:val="333333"/>
          <w:sz w:val="19"/>
          <w:szCs w:val="19"/>
        </w:rPr>
        <w:t xml:space="preserve">3.1 Named User Vulnerability Events</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gridCol w:w="100"/>
        <w:gridCol w:w="100"/>
        <w:gridCol w:w="100"/>
      </w:tblGrid>
      <w:tr>
        <w:trPr>
          <w:tblHeader/>
        </w:trPr>
        <w:tc>
          <w:tcPr>
            <w:tcW w:type="pct" w:w="14%"/>
            <w:tcBorders>
              <w:top w:val="single" w:color="CCCCCC" w:sz="1"/>
              <w:left w:val="single" w:color="CCCCCC" w:sz="1"/>
              <w:bottom w:val="single" w:color="CCCCCC" w:sz="1"/>
              <w:right w:val="single" w:color="CCCCCC" w:sz="1"/>
            </w:tcBorders>
            <w:shd w:fill="FA4616"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Source IP</w:t>
            </w:r>
          </w:p>
        </w:tc>
        <w:tc>
          <w:tcPr>
            <w:tcW w:type="pct" w:w="20%"/>
            <w:tcBorders>
              <w:top w:val="single" w:color="CCCCCC" w:sz="1"/>
              <w:left w:val="single" w:color="CCCCCC" w:sz="1"/>
              <w:bottom w:val="single" w:color="CCCCCC" w:sz="1"/>
              <w:right w:val="single" w:color="CCCCCC" w:sz="1"/>
            </w:tcBorders>
            <w:shd w:fill="FA4616"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User</w:t>
            </w:r>
          </w:p>
        </w:tc>
        <w:tc>
          <w:tcPr>
            <w:tcW w:type="pct" w:w="23%"/>
            <w:tcBorders>
              <w:top w:val="single" w:color="CCCCCC" w:sz="1"/>
              <w:left w:val="single" w:color="CCCCCC" w:sz="1"/>
              <w:bottom w:val="single" w:color="CCCCCC" w:sz="1"/>
              <w:right w:val="single" w:color="CCCCCC" w:sz="1"/>
            </w:tcBorders>
            <w:shd w:fill="FA4616"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Threat</w:t>
            </w:r>
          </w:p>
        </w:tc>
        <w:tc>
          <w:tcPr>
            <w:tcW w:type="pct" w:w="10%"/>
            <w:tcBorders>
              <w:top w:val="single" w:color="CCCCCC" w:sz="1"/>
              <w:left w:val="single" w:color="CCCCCC" w:sz="1"/>
              <w:bottom w:val="single" w:color="CCCCCC" w:sz="1"/>
              <w:right w:val="single" w:color="CCCCCC" w:sz="1"/>
            </w:tcBorders>
            <w:shd w:fill="FA4616"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Sev</w:t>
            </w:r>
          </w:p>
        </w:tc>
        <w:tc>
          <w:tcPr>
            <w:tcW w:type="pct" w:w="12%"/>
            <w:tcBorders>
              <w:top w:val="single" w:color="CCCCCC" w:sz="1"/>
              <w:left w:val="single" w:color="CCCCCC" w:sz="1"/>
              <w:bottom w:val="single" w:color="CCCCCC" w:sz="1"/>
              <w:right w:val="single" w:color="CCCCCC" w:sz="1"/>
            </w:tcBorders>
            <w:shd w:fill="FA4616"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Action</w:t>
            </w:r>
          </w:p>
        </w:tc>
        <w:tc>
          <w:tcPr>
            <w:tcW w:type="pct" w:w="21%"/>
            <w:tcBorders>
              <w:top w:val="single" w:color="CCCCCC" w:sz="1"/>
              <w:left w:val="single" w:color="CCCCCC" w:sz="1"/>
              <w:bottom w:val="single" w:color="CCCCCC" w:sz="1"/>
              <w:right w:val="single" w:color="CCCCCC" w:sz="1"/>
            </w:tcBorders>
            <w:shd w:fill="FA4616"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CVE</w:t>
            </w:r>
          </w:p>
        </w:tc>
      </w:tr>
      <w:tr>
        <w:tc>
          <w:tcPr>
            <w:tcW w:type="pct" w:w="14%"/>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10.100.10.201</w:t>
            </w:r>
          </w:p>
        </w:tc>
        <w:tc>
          <w:tcPr>
            <w:tcW w:type="pct" w:w="2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idexna\bidservices</w:t>
            </w:r>
          </w:p>
        </w:tc>
        <w:tc>
          <w:tcPr>
            <w:tcW w:type="pct" w:w="23%"/>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Apache Log4j RCE</w:t>
            </w:r>
          </w:p>
        </w:tc>
        <w:tc>
          <w:tcPr>
            <w:tcW w:type="pct" w:w="1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CC0000"/>
                <w:sz w:val="18"/>
                <w:szCs w:val="18"/>
              </w:rPr>
              <w:t xml:space="preserve">CRITICAL</w:t>
            </w:r>
          </w:p>
        </w:tc>
        <w:tc>
          <w:tcPr>
            <w:tcW w:type="pct" w:w="12%"/>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reset-both</w:t>
            </w:r>
          </w:p>
        </w:tc>
        <w:tc>
          <w:tcPr>
            <w:tcW w:type="pct" w:w="21%"/>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CVE-2021-44228</w:t>
            </w:r>
          </w:p>
        </w:tc>
      </w:tr>
      <w:tr>
        <w:tc>
          <w:tcPr>
            <w:tcW w:type="pct" w:w="14%"/>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10.65.112.240</w:t>
            </w:r>
          </w:p>
        </w:tc>
        <w:tc>
          <w:tcPr>
            <w:tcW w:type="pct" w:w="20%"/>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idexcorpnet\jseuntiens</w:t>
            </w:r>
          </w:p>
        </w:tc>
        <w:tc>
          <w:tcPr>
            <w:tcW w:type="pct" w:w="23%"/>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SSH Brute Force (×9)</w:t>
            </w:r>
          </w:p>
        </w:tc>
        <w:tc>
          <w:tcPr>
            <w:tcW w:type="pct" w:w="10%"/>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E07800"/>
                <w:sz w:val="18"/>
                <w:szCs w:val="18"/>
              </w:rPr>
              <w:t xml:space="preserve">HIGH</w:t>
            </w:r>
          </w:p>
        </w:tc>
        <w:tc>
          <w:tcPr>
            <w:tcW w:type="pct" w:w="12%"/>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reset-both</w:t>
            </w:r>
          </w:p>
        </w:tc>
        <w:tc>
          <w:tcPr>
            <w:tcW w:type="pct" w:w="21%"/>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w:t>
            </w:r>
          </w:p>
        </w:tc>
      </w:tr>
      <w:tr>
        <w:tc>
          <w:tcPr>
            <w:tcW w:type="pct" w:w="14%"/>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10.28.197.14</w:t>
            </w:r>
          </w:p>
        </w:tc>
        <w:tc>
          <w:tcPr>
            <w:tcW w:type="pct" w:w="2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idexcorpnet\paloalto</w:t>
            </w:r>
          </w:p>
        </w:tc>
        <w:tc>
          <w:tcPr>
            <w:tcW w:type="pct" w:w="23%"/>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HTTP WRM Brute Force (×5)</w:t>
            </w:r>
          </w:p>
        </w:tc>
        <w:tc>
          <w:tcPr>
            <w:tcW w:type="pct" w:w="1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E07800"/>
                <w:sz w:val="18"/>
                <w:szCs w:val="18"/>
              </w:rPr>
              <w:t xml:space="preserve">HIGH</w:t>
            </w:r>
          </w:p>
        </w:tc>
        <w:tc>
          <w:tcPr>
            <w:tcW w:type="pct" w:w="12%"/>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reset-both</w:t>
            </w:r>
          </w:p>
        </w:tc>
        <w:tc>
          <w:tcPr>
            <w:tcW w:type="pct" w:w="21%"/>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w:t>
            </w:r>
          </w:p>
        </w:tc>
      </w:tr>
      <w:tr>
        <w:tc>
          <w:tcPr>
            <w:tcW w:type="pct" w:w="14%"/>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10.58.147.251</w:t>
            </w:r>
          </w:p>
        </w:tc>
        <w:tc>
          <w:tcPr>
            <w:tcW w:type="pct" w:w="20%"/>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idexcorpnet\paloalto</w:t>
            </w:r>
          </w:p>
        </w:tc>
        <w:tc>
          <w:tcPr>
            <w:tcW w:type="pct" w:w="23%"/>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HTTP WRM Brute Force (×5)</w:t>
            </w:r>
          </w:p>
        </w:tc>
        <w:tc>
          <w:tcPr>
            <w:tcW w:type="pct" w:w="10%"/>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E07800"/>
                <w:sz w:val="18"/>
                <w:szCs w:val="18"/>
              </w:rPr>
              <w:t xml:space="preserve">HIGH</w:t>
            </w:r>
          </w:p>
        </w:tc>
        <w:tc>
          <w:tcPr>
            <w:tcW w:type="pct" w:w="12%"/>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alert</w:t>
            </w:r>
          </w:p>
        </w:tc>
        <w:tc>
          <w:tcPr>
            <w:tcW w:type="pct" w:w="21%"/>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w:t>
            </w:r>
          </w:p>
        </w:tc>
      </w:tr>
      <w:tr>
        <w:tc>
          <w:tcPr>
            <w:tcW w:type="pct" w:w="14%"/>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162.217.98.180</w:t>
            </w:r>
          </w:p>
        </w:tc>
        <w:tc>
          <w:tcPr>
            <w:tcW w:type="pct" w:w="2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(none / external)</w:t>
            </w:r>
          </w:p>
        </w:tc>
        <w:tc>
          <w:tcPr>
            <w:tcW w:type="pct" w:w="23%"/>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SIPVicious Scanner</w:t>
            </w:r>
          </w:p>
        </w:tc>
        <w:tc>
          <w:tcPr>
            <w:tcW w:type="pct" w:w="1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333333"/>
                <w:sz w:val="18"/>
                <w:szCs w:val="18"/>
              </w:rPr>
              <w:t xml:space="preserve">MEDIUM</w:t>
            </w:r>
          </w:p>
        </w:tc>
        <w:tc>
          <w:tcPr>
            <w:tcW w:type="pct" w:w="12%"/>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drop</w:t>
            </w:r>
          </w:p>
        </w:tc>
        <w:tc>
          <w:tcPr>
            <w:tcW w:type="pct" w:w="21%"/>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w:t>
            </w:r>
          </w:p>
        </w:tc>
      </w:tr>
    </w:tbl>
    <w:p>
      <w:pPr>
        <w:spacing w:after="120" w:before="0"/>
      </w:pPr>
      <w:r>
        <w:rPr>
          <w:rFonts w:ascii="Arial" w:cs="Arial" w:eastAsia="Arial" w:hAnsi="Arial"/>
          <w:b w:val="false"/>
          <w:bCs w:val="false"/>
          <w:i w:val="false"/>
          <w:iCs w:val="false"/>
          <w:color w:val="333333"/>
          <w:sz w:val="20"/>
          <w:szCs w:val="20"/>
        </w:rPr>
        <w:t xml:space="preserve"> </w:t>
      </w:r>
    </w:p>
    <w:p>
      <w:pPr>
        <w:spacing w:after="60" w:before="120"/>
      </w:pPr>
      <w:r>
        <w:rPr>
          <w:rFonts w:ascii="Arial" w:cs="Arial" w:eastAsia="Arial" w:hAnsi="Arial"/>
          <w:b/>
          <w:bCs/>
          <w:i w:val="false"/>
          <w:iCs w:val="false"/>
          <w:color w:val="333333"/>
          <w:sz w:val="19"/>
          <w:szCs w:val="19"/>
        </w:rPr>
        <w:t xml:space="preserve">3.2 Application Vulnerability Exploits (SLR — 104,259 total)</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tblGrid>
      <w:tr>
        <w:trPr>
          <w:tblHeader/>
        </w:trPr>
        <w:tc>
          <w:tcPr>
            <w:tcW w:type="pct" w:w="20%"/>
            <w:tcBorders>
              <w:top w:val="single" w:color="CCCCCC" w:sz="1"/>
              <w:left w:val="single" w:color="CCCCCC" w:sz="1"/>
              <w:bottom w:val="single" w:color="CCCCCC" w:sz="1"/>
              <w:right w:val="single" w:color="CCCCCC" w:sz="1"/>
            </w:tcBorders>
            <w:shd w:fill="FA4616"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Application</w:t>
            </w:r>
          </w:p>
        </w:tc>
        <w:tc>
          <w:tcPr>
            <w:tcW w:type="pct" w:w="12%"/>
            <w:tcBorders>
              <w:top w:val="single" w:color="CCCCCC" w:sz="1"/>
              <w:left w:val="single" w:color="CCCCCC" w:sz="1"/>
              <w:bottom w:val="single" w:color="CCCCCC" w:sz="1"/>
              <w:right w:val="single" w:color="CCCCCC" w:sz="1"/>
            </w:tcBorders>
            <w:shd w:fill="FA4616"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Count</w:t>
            </w:r>
          </w:p>
        </w:tc>
        <w:tc>
          <w:tcPr>
            <w:tcW w:type="pct" w:w="68%"/>
            <w:tcBorders>
              <w:top w:val="single" w:color="CCCCCC" w:sz="1"/>
              <w:left w:val="single" w:color="CCCCCC" w:sz="1"/>
              <w:bottom w:val="single" w:color="CCCCCC" w:sz="1"/>
              <w:right w:val="single" w:color="CCCCCC" w:sz="1"/>
            </w:tcBorders>
            <w:shd w:fill="FA4616"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Top Threat Signatures</w:t>
            </w:r>
          </w:p>
        </w:tc>
      </w:tr>
      <w:tr>
        <w:tc>
          <w:tcPr>
            <w:tcW w:type="pct" w:w="2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ms-ds-smbv3</w:t>
            </w:r>
          </w:p>
        </w:tc>
        <w:tc>
          <w:tcPr>
            <w:tcW w:type="pct" w:w="12%"/>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51,412</w:t>
            </w:r>
          </w:p>
        </w:tc>
        <w:tc>
          <w:tcPr>
            <w:tcW w:type="pct" w:w="68%"/>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SMB Brute Force: 944 HIGH · Registry Read: 42,243 LOW · RPC Encrypted Data: 285 LOW</w:t>
            </w:r>
          </w:p>
        </w:tc>
      </w:tr>
      <w:tr>
        <w:tc>
          <w:tcPr>
            <w:tcW w:type="pct" w:w="20%"/>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github-base</w:t>
            </w:r>
          </w:p>
        </w:tc>
        <w:tc>
          <w:tcPr>
            <w:tcW w:type="pct" w:w="12%"/>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38,508</w:t>
            </w:r>
          </w:p>
        </w:tc>
        <w:tc>
          <w:tcPr>
            <w:tcW w:type="pct" w:w="68%"/>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HTTP Unauthorized Brute Force — 38,508 HIGH hits</w:t>
            </w:r>
          </w:p>
        </w:tc>
      </w:tr>
      <w:tr>
        <w:tc>
          <w:tcPr>
            <w:tcW w:type="pct" w:w="2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msrpc-base</w:t>
            </w:r>
          </w:p>
        </w:tc>
        <w:tc>
          <w:tcPr>
            <w:tcW w:type="pct" w:w="12%"/>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4,031</w:t>
            </w:r>
          </w:p>
        </w:tc>
        <w:tc>
          <w:tcPr>
            <w:tcW w:type="pct" w:w="68%"/>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Windows NTLMSSP Detection — INFO</w:t>
            </w:r>
          </w:p>
        </w:tc>
      </w:tr>
      <w:tr>
        <w:tc>
          <w:tcPr>
            <w:tcW w:type="pct" w:w="20%"/>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web-browsing</w:t>
            </w:r>
          </w:p>
        </w:tc>
        <w:tc>
          <w:tcPr>
            <w:tcW w:type="pct" w:w="12%"/>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4,005</w:t>
            </w:r>
          </w:p>
        </w:tc>
        <w:tc>
          <w:tcPr>
            <w:tcW w:type="pct" w:w="68%"/>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HTTP /etc/passwd (108 CRIT, CVE-2017-7577) · Atlassian Confluence RCE (37 CRIT, CVE-2022-26134) · Apache Log4j RCE (36 CRIT, CVE-2021-44228) · ServiceNow RCE (35 CRIT, CVE-2024-4879)</w:t>
            </w:r>
          </w:p>
        </w:tc>
      </w:tr>
      <w:tr>
        <w:tc>
          <w:tcPr>
            <w:tcW w:type="pct" w:w="2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concur-base</w:t>
            </w:r>
          </w:p>
        </w:tc>
        <w:tc>
          <w:tcPr>
            <w:tcW w:type="pct" w:w="12%"/>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2,168</w:t>
            </w:r>
          </w:p>
        </w:tc>
        <w:tc>
          <w:tcPr>
            <w:tcW w:type="pct" w:w="68%"/>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HTTP Unauthorized Brute Force — 2,168 HIGH hits</w:t>
            </w:r>
          </w:p>
        </w:tc>
      </w:tr>
    </w:tbl>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tblGrid>
      <w:tr>
        <w:tc>
          <w:tcPr>
            <w:tcW w:type="pct" w:w="100%"/>
            <w:tcBorders>
              <w:top w:val="single" w:color="CCCCCC" w:sz="1"/>
              <w:left w:val="single" w:color="CCCCCC" w:sz="1"/>
              <w:bottom w:val="single" w:color="CCCCCC" w:sz="1"/>
              <w:right w:val="single" w:color="CCCCCC" w:sz="1"/>
            </w:tcBorders>
            <w:shd w:fill="FA4616" w:color="auto" w:val="clear"/>
            <w:tcMar>
              <w:top w:type="dxa" w:w="80"/>
              <w:left w:type="dxa" w:w="120"/>
              <w:bottom w:type="dxa" w:w="80"/>
              <w:right w:type="dxa" w:w="120"/>
            </w:tcMar>
          </w:tcPr>
          <w:p>
            <w:pPr>
              <w:spacing w:after="80" w:before="80"/>
            </w:pPr>
            <w:r>
              <w:rPr>
                <w:rFonts w:ascii="Arial" w:cs="Arial" w:eastAsia="Arial" w:hAnsi="Arial"/>
                <w:b/>
                <w:bCs/>
                <w:i w:val="false"/>
                <w:iCs w:val="false"/>
                <w:color w:val="FFFFFF"/>
                <w:sz w:val="18"/>
                <w:szCs w:val="18"/>
              </w:rPr>
              <w:t xml:space="preserve">⚠  SO WHAT — WHY THIS MATTERS</w:t>
            </w:r>
          </w:p>
        </w:tc>
      </w:tr>
      <w:tr>
        <w:tc>
          <w:tcPr>
            <w:tcW w:type="pct" w:w="100%"/>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pPr>
            <w:r>
              <w:rPr>
                <w:rFonts w:ascii="Arial" w:cs="Arial" w:eastAsia="Arial" w:hAnsi="Arial"/>
                <w:b/>
                <w:bCs/>
                <w:i w:val="false"/>
                <w:iCs w:val="false"/>
                <w:color w:val="FA4616"/>
                <w:sz w:val="20"/>
                <w:szCs w:val="20"/>
              </w:rPr>
              <w:t xml:space="preserve">› </w:t>
            </w:r>
            <w:r>
              <w:rPr>
                <w:rFonts w:ascii="Arial" w:cs="Arial" w:eastAsia="Arial" w:hAnsi="Arial"/>
                <w:b w:val="false"/>
                <w:bCs w:val="false"/>
                <w:i w:val="false"/>
                <w:iCs w:val="false"/>
                <w:color w:val="333333"/>
                <w:sz w:val="20"/>
                <w:szCs w:val="20"/>
              </w:rPr>
              <w:t xml:space="preserve">idexna\bidservices triggered Log4j RCE (CVE-2021-44228) connecting to an external IP on port 443 — confirmed active incident, not a policy alert. This requires immediate endpoint forensics.</w:t>
            </w:r>
          </w:p>
        </w:tc>
      </w:tr>
      <w:tr>
        <w:tc>
          <w:tcPr>
            <w:tcW w:type="pct" w:w="1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pPr>
            <w:r>
              <w:rPr>
                <w:rFonts w:ascii="Arial" w:cs="Arial" w:eastAsia="Arial" w:hAnsi="Arial"/>
                <w:b/>
                <w:bCs/>
                <w:i w:val="false"/>
                <w:iCs w:val="false"/>
                <w:color w:val="FA4616"/>
                <w:sz w:val="20"/>
                <w:szCs w:val="20"/>
              </w:rPr>
              <w:t xml:space="preserve">› </w:t>
            </w:r>
            <w:r>
              <w:rPr>
                <w:rFonts w:ascii="Arial" w:cs="Arial" w:eastAsia="Arial" w:hAnsi="Arial"/>
                <w:b w:val="false"/>
                <w:bCs w:val="false"/>
                <w:i w:val="false"/>
                <w:iCs w:val="false"/>
                <w:color w:val="333333"/>
                <w:sz w:val="20"/>
                <w:szCs w:val="20"/>
              </w:rPr>
              <w:t xml:space="preserve">Log4j was disclosed December 2021. Still firing in 2026 means either an unpatched application is still running, or an attacker is actively probing.</w:t>
            </w:r>
          </w:p>
        </w:tc>
      </w:tr>
      <w:tr>
        <w:tc>
          <w:tcPr>
            <w:tcW w:type="pct" w:w="100%"/>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pPr>
            <w:r>
              <w:rPr>
                <w:rFonts w:ascii="Arial" w:cs="Arial" w:eastAsia="Arial" w:hAnsi="Arial"/>
                <w:b/>
                <w:bCs/>
                <w:i w:val="false"/>
                <w:iCs w:val="false"/>
                <w:color w:val="FA4616"/>
                <w:sz w:val="20"/>
                <w:szCs w:val="20"/>
              </w:rPr>
              <w:t xml:space="preserve">› </w:t>
            </w:r>
            <w:r>
              <w:rPr>
                <w:rFonts w:ascii="Arial" w:cs="Arial" w:eastAsia="Arial" w:hAnsi="Arial"/>
                <w:b w:val="false"/>
                <w:bCs w:val="false"/>
                <w:i w:val="false"/>
                <w:iCs w:val="false"/>
                <w:color w:val="333333"/>
                <w:sz w:val="20"/>
                <w:szCs w:val="20"/>
              </w:rPr>
              <w:t xml:space="preserve">idexcorpnet\jseuntiens had 9 SSH brute force events — someone was systematically trying to break into systems accessible to that account. Combined with WRM brute force on idexcorpnet\paloalto, two named accounts are under active attack.</w:t>
            </w:r>
          </w:p>
        </w:tc>
      </w:tr>
      <w:tr>
        <w:tc>
          <w:tcPr>
            <w:tcW w:type="pct" w:w="1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pPr>
            <w:r>
              <w:rPr>
                <w:rFonts w:ascii="Arial" w:cs="Arial" w:eastAsia="Arial" w:hAnsi="Arial"/>
                <w:b/>
                <w:bCs/>
                <w:i w:val="false"/>
                <w:iCs w:val="false"/>
                <w:color w:val="FA4616"/>
                <w:sz w:val="20"/>
                <w:szCs w:val="20"/>
              </w:rPr>
              <w:t xml:space="preserve">› </w:t>
            </w:r>
            <w:r>
              <w:rPr>
                <w:rFonts w:ascii="Arial" w:cs="Arial" w:eastAsia="Arial" w:hAnsi="Arial"/>
                <w:b w:val="false"/>
                <w:bCs w:val="false"/>
                <w:i w:val="false"/>
                <w:iCs w:val="false"/>
                <w:color w:val="333333"/>
                <w:sz w:val="20"/>
                <w:szCs w:val="20"/>
              </w:rPr>
              <w:t xml:space="preserve">51,412 SMBv3 exploit hits means the most commonly exploited Windows file-sharing protocol is being hammered. EternalBlue (WannaCry, NotPetya) uses this exact pathway.</w:t>
            </w:r>
          </w:p>
        </w:tc>
      </w:tr>
    </w:tbl>
    <w:p>
      <w:r>
        <w:br w:type="page"/>
      </w:r>
    </w:p>
    <w:p>
      <w:pPr>
        <w:pBdr>
          <w:bottom w:val="single" w:color="FA4616" w:sz="6"/>
        </w:pBdr>
        <w:spacing w:after="120" w:before="280"/>
      </w:pPr>
      <w:r>
        <w:rPr>
          <w:rFonts w:ascii="Arial" w:cs="Arial" w:eastAsia="Arial" w:hAnsi="Arial"/>
          <w:b/>
          <w:bCs/>
          <w:i w:val="false"/>
          <w:iCs w:val="false"/>
          <w:color w:val="FA4616"/>
          <w:sz w:val="26"/>
          <w:szCs w:val="26"/>
        </w:rPr>
        <w:t xml:space="preserve">4. Lateral Movement &amp; Risky Remote Access</w:t>
      </w:r>
    </w:p>
    <w:p>
      <w:pPr>
        <w:spacing w:after="120" w:before="40"/>
        <w:jc w:val="left"/>
      </w:pPr>
      <w:r>
        <w:rPr>
          <w:rFonts w:ascii="Arial" w:cs="Arial" w:eastAsia="Arial" w:hAnsi="Arial"/>
          <w:b w:val="false"/>
          <w:bCs w:val="false"/>
          <w:i w:val="false"/>
          <w:iCs w:val="false"/>
          <w:color w:val="333333"/>
          <w:sz w:val="20"/>
          <w:szCs w:val="20"/>
        </w:rPr>
        <w:t xml:space="preserve">Traffic log analysis identified Windows Remote Management (WRM) brute-force traffic originating from internal IPs crossing into separate network segments, and SMB flows crossing between zone boundaries — both indicators of active or attempted lateral movement.</w:t>
      </w:r>
    </w:p>
    <w:p>
      <w:pPr>
        <w:spacing w:after="120" w:before="0"/>
      </w:pPr>
      <w:r>
        <w:rPr>
          <w:rFonts w:ascii="Arial" w:cs="Arial" w:eastAsia="Arial" w:hAnsi="Arial"/>
          <w:b w:val="false"/>
          <w:bCs w:val="false"/>
          <w:i w:val="false"/>
          <w:iCs w:val="false"/>
          <w:color w:val="333333"/>
          <w:sz w:val="20"/>
          <w:szCs w:val="20"/>
        </w:rPr>
        <w:t xml:space="preserve"> </w:t>
      </w:r>
    </w:p>
    <w:p>
      <w:pPr>
        <w:spacing w:after="60" w:before="120"/>
      </w:pPr>
      <w:r>
        <w:rPr>
          <w:rFonts w:ascii="Arial" w:cs="Arial" w:eastAsia="Arial" w:hAnsi="Arial"/>
          <w:b/>
          <w:bCs/>
          <w:i w:val="false"/>
          <w:iCs w:val="false"/>
          <w:color w:val="333333"/>
          <w:sz w:val="19"/>
          <w:szCs w:val="19"/>
        </w:rPr>
        <w:t xml:space="preserve">4.1 WRM Lateral Movement (traffic logs)</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gridCol w:w="100"/>
        <w:gridCol w:w="100"/>
      </w:tblGrid>
      <w:tr>
        <w:trPr>
          <w:tblHeader/>
        </w:trPr>
        <w:tc>
          <w:tcPr>
            <w:tcW w:type="pct" w:w="15%"/>
            <w:tcBorders>
              <w:top w:val="single" w:color="CCCCCC" w:sz="1"/>
              <w:left w:val="single" w:color="CCCCCC" w:sz="1"/>
              <w:bottom w:val="single" w:color="CCCCCC" w:sz="1"/>
              <w:right w:val="single" w:color="CCCCCC" w:sz="1"/>
            </w:tcBorders>
            <w:shd w:fill="FA4616"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Source IP</w:t>
            </w:r>
          </w:p>
        </w:tc>
        <w:tc>
          <w:tcPr>
            <w:tcW w:type="pct" w:w="26%"/>
            <w:tcBorders>
              <w:top w:val="single" w:color="CCCCCC" w:sz="1"/>
              <w:left w:val="single" w:color="CCCCCC" w:sz="1"/>
              <w:bottom w:val="single" w:color="CCCCCC" w:sz="1"/>
              <w:right w:val="single" w:color="CCCCCC" w:sz="1"/>
            </w:tcBorders>
            <w:shd w:fill="FA4616"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Source Zone</w:t>
            </w:r>
          </w:p>
        </w:tc>
        <w:tc>
          <w:tcPr>
            <w:tcW w:type="pct" w:w="15%"/>
            <w:tcBorders>
              <w:top w:val="single" w:color="CCCCCC" w:sz="1"/>
              <w:left w:val="single" w:color="CCCCCC" w:sz="1"/>
              <w:bottom w:val="single" w:color="CCCCCC" w:sz="1"/>
              <w:right w:val="single" w:color="CCCCCC" w:sz="1"/>
            </w:tcBorders>
            <w:shd w:fill="FA4616"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Dest IP</w:t>
            </w:r>
          </w:p>
        </w:tc>
        <w:tc>
          <w:tcPr>
            <w:tcW w:type="pct" w:w="14%"/>
            <w:tcBorders>
              <w:top w:val="single" w:color="CCCCCC" w:sz="1"/>
              <w:left w:val="single" w:color="CCCCCC" w:sz="1"/>
              <w:bottom w:val="single" w:color="CCCCCC" w:sz="1"/>
              <w:right w:val="single" w:color="CCCCCC" w:sz="1"/>
            </w:tcBorders>
            <w:shd w:fill="FA4616"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Dest Zone</w:t>
            </w:r>
          </w:p>
        </w:tc>
        <w:tc>
          <w:tcPr>
            <w:tcW w:type="pct" w:w="30%"/>
            <w:tcBorders>
              <w:top w:val="single" w:color="CCCCCC" w:sz="1"/>
              <w:left w:val="single" w:color="CCCCCC" w:sz="1"/>
              <w:bottom w:val="single" w:color="CCCCCC" w:sz="1"/>
              <w:right w:val="single" w:color="CCCCCC" w:sz="1"/>
            </w:tcBorders>
            <w:shd w:fill="FA4616"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Data Transferred</w:t>
            </w:r>
          </w:p>
        </w:tc>
      </w:tr>
      <w:tr>
        <w:tc>
          <w:tcPr>
            <w:tcW w:type="pct" w:w="15%"/>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10.65.131.251</w:t>
            </w:r>
          </w:p>
        </w:tc>
        <w:tc>
          <w:tcPr>
            <w:tcW w:type="pct" w:w="26%"/>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L4-BU_ENT / MAD_IPSEC</w:t>
            </w:r>
          </w:p>
        </w:tc>
        <w:tc>
          <w:tcPr>
            <w:tcW w:type="pct" w:w="15%"/>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10.26.200.46</w:t>
            </w:r>
          </w:p>
        </w:tc>
        <w:tc>
          <w:tcPr>
            <w:tcW w:type="pct" w:w="14%"/>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INTERNAL</w:t>
            </w:r>
          </w:p>
        </w:tc>
        <w:tc>
          <w:tcPr>
            <w:tcW w:type="pct" w:w="3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24.4 MB</w:t>
            </w:r>
          </w:p>
        </w:tc>
      </w:tr>
      <w:tr>
        <w:tc>
          <w:tcPr>
            <w:tcW w:type="pct" w:w="15%"/>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10.65.115.252</w:t>
            </w:r>
          </w:p>
        </w:tc>
        <w:tc>
          <w:tcPr>
            <w:tcW w:type="pct" w:w="26%"/>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L4-BU_ENT / MAD_IPSEC</w:t>
            </w:r>
          </w:p>
        </w:tc>
        <w:tc>
          <w:tcPr>
            <w:tcW w:type="pct" w:w="15%"/>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10.28.200.103</w:t>
            </w:r>
          </w:p>
        </w:tc>
        <w:tc>
          <w:tcPr>
            <w:tcW w:type="pct" w:w="14%"/>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INTERNAL</w:t>
            </w:r>
          </w:p>
        </w:tc>
        <w:tc>
          <w:tcPr>
            <w:tcW w:type="pct" w:w="30%"/>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4.4 MB</w:t>
            </w:r>
          </w:p>
        </w:tc>
      </w:tr>
      <w:tr>
        <w:tc>
          <w:tcPr>
            <w:tcW w:type="pct" w:w="15%"/>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10.45.84.3</w:t>
            </w:r>
          </w:p>
        </w:tc>
        <w:tc>
          <w:tcPr>
            <w:tcW w:type="pct" w:w="26%"/>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Internal / MAD_IPSEC</w:t>
            </w:r>
          </w:p>
        </w:tc>
        <w:tc>
          <w:tcPr>
            <w:tcW w:type="pct" w:w="15%"/>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10.28.200.103</w:t>
            </w:r>
          </w:p>
        </w:tc>
        <w:tc>
          <w:tcPr>
            <w:tcW w:type="pct" w:w="14%"/>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INTERNAL</w:t>
            </w:r>
          </w:p>
        </w:tc>
        <w:tc>
          <w:tcPr>
            <w:tcW w:type="pct" w:w="3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2.8 MB</w:t>
            </w:r>
          </w:p>
        </w:tc>
      </w:tr>
      <w:tr>
        <w:tc>
          <w:tcPr>
            <w:tcW w:type="pct" w:w="15%"/>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10.58.147.251</w:t>
            </w:r>
          </w:p>
        </w:tc>
        <w:tc>
          <w:tcPr>
            <w:tcW w:type="pct" w:w="26%"/>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idex_ipsec / L4-BU_ENT</w:t>
            </w:r>
          </w:p>
        </w:tc>
        <w:tc>
          <w:tcPr>
            <w:tcW w:type="pct" w:w="15%"/>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10.28.200.104</w:t>
            </w:r>
          </w:p>
        </w:tc>
        <w:tc>
          <w:tcPr>
            <w:tcW w:type="pct" w:w="14%"/>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INTERNAL</w:t>
            </w:r>
          </w:p>
        </w:tc>
        <w:tc>
          <w:tcPr>
            <w:tcW w:type="pct" w:w="30%"/>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1.4 MB</w:t>
            </w:r>
          </w:p>
        </w:tc>
      </w:tr>
    </w:tbl>
    <w:p>
      <w:pPr>
        <w:spacing w:after="120" w:before="0"/>
      </w:pPr>
      <w:r>
        <w:rPr>
          <w:rFonts w:ascii="Arial" w:cs="Arial" w:eastAsia="Arial" w:hAnsi="Arial"/>
          <w:b w:val="false"/>
          <w:bCs w:val="false"/>
          <w:i w:val="false"/>
          <w:iCs w:val="false"/>
          <w:color w:val="333333"/>
          <w:sz w:val="20"/>
          <w:szCs w:val="20"/>
        </w:rPr>
        <w:t xml:space="preserve"> </w:t>
      </w:r>
    </w:p>
    <w:p>
      <w:pPr>
        <w:spacing w:after="60" w:before="120"/>
      </w:pPr>
      <w:r>
        <w:rPr>
          <w:rFonts w:ascii="Arial" w:cs="Arial" w:eastAsia="Arial" w:hAnsi="Arial"/>
          <w:b/>
          <w:bCs/>
          <w:i w:val="false"/>
          <w:iCs w:val="false"/>
          <w:color w:val="333333"/>
          <w:sz w:val="19"/>
          <w:szCs w:val="19"/>
        </w:rPr>
        <w:t xml:space="preserve">4.2 SMB Cross-Segment Flows</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gridCol w:w="100"/>
        <w:gridCol w:w="100"/>
      </w:tblGrid>
      <w:tr>
        <w:trPr>
          <w:tblHeader/>
        </w:trPr>
        <w:tc>
          <w:tcPr>
            <w:tcW w:type="pct" w:w="15%"/>
            <w:tcBorders>
              <w:top w:val="single" w:color="CCCCCC" w:sz="1"/>
              <w:left w:val="single" w:color="CCCCCC" w:sz="1"/>
              <w:bottom w:val="single" w:color="CCCCCC" w:sz="1"/>
              <w:right w:val="single" w:color="CCCCCC" w:sz="1"/>
            </w:tcBorders>
            <w:shd w:fill="FA4616"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Source IP</w:t>
            </w:r>
          </w:p>
        </w:tc>
        <w:tc>
          <w:tcPr>
            <w:tcW w:type="pct" w:w="20%"/>
            <w:tcBorders>
              <w:top w:val="single" w:color="CCCCCC" w:sz="1"/>
              <w:left w:val="single" w:color="CCCCCC" w:sz="1"/>
              <w:bottom w:val="single" w:color="CCCCCC" w:sz="1"/>
              <w:right w:val="single" w:color="CCCCCC" w:sz="1"/>
            </w:tcBorders>
            <w:shd w:fill="FA4616"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Source Zone</w:t>
            </w:r>
          </w:p>
        </w:tc>
        <w:tc>
          <w:tcPr>
            <w:tcW w:type="pct" w:w="23%"/>
            <w:tcBorders>
              <w:top w:val="single" w:color="CCCCCC" w:sz="1"/>
              <w:left w:val="single" w:color="CCCCCC" w:sz="1"/>
              <w:bottom w:val="single" w:color="CCCCCC" w:sz="1"/>
              <w:right w:val="single" w:color="CCCCCC" w:sz="1"/>
            </w:tcBorders>
            <w:shd w:fill="FA4616"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Dest IP / Zone</w:t>
            </w:r>
          </w:p>
        </w:tc>
        <w:tc>
          <w:tcPr>
            <w:tcW w:type="pct" w:w="20%"/>
            <w:tcBorders>
              <w:top w:val="single" w:color="CCCCCC" w:sz="1"/>
              <w:left w:val="single" w:color="CCCCCC" w:sz="1"/>
              <w:bottom w:val="single" w:color="CCCCCC" w:sz="1"/>
              <w:right w:val="single" w:color="CCCCCC" w:sz="1"/>
            </w:tcBorders>
            <w:shd w:fill="FA4616"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Protocol</w:t>
            </w:r>
          </w:p>
        </w:tc>
        <w:tc>
          <w:tcPr>
            <w:tcW w:type="pct" w:w="22%"/>
            <w:tcBorders>
              <w:top w:val="single" w:color="CCCCCC" w:sz="1"/>
              <w:left w:val="single" w:color="CCCCCC" w:sz="1"/>
              <w:bottom w:val="single" w:color="CCCCCC" w:sz="1"/>
              <w:right w:val="single" w:color="CCCCCC" w:sz="1"/>
            </w:tcBorders>
            <w:shd w:fill="FA4616"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Data</w:t>
            </w:r>
          </w:p>
        </w:tc>
      </w:tr>
      <w:tr>
        <w:tc>
          <w:tcPr>
            <w:tcW w:type="pct" w:w="15%"/>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10.8.229.17</w:t>
            </w:r>
          </w:p>
        </w:tc>
        <w:tc>
          <w:tcPr>
            <w:tcW w:type="pct" w:w="2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L5-BU_OFFICE</w:t>
            </w:r>
          </w:p>
        </w:tc>
        <w:tc>
          <w:tcPr>
            <w:tcW w:type="pct" w:w="23%"/>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L4-BU_ENT</w:t>
            </w:r>
          </w:p>
        </w:tc>
        <w:tc>
          <w:tcPr>
            <w:tcW w:type="pct" w:w="2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SMB / TCP 445</w:t>
            </w:r>
          </w:p>
        </w:tc>
        <w:tc>
          <w:tcPr>
            <w:tcW w:type="pct" w:w="22%"/>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w:t>
            </w:r>
          </w:p>
        </w:tc>
      </w:tr>
      <w:tr>
        <w:tc>
          <w:tcPr>
            <w:tcW w:type="pct" w:w="15%"/>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10.65.112.202</w:t>
            </w:r>
          </w:p>
        </w:tc>
        <w:tc>
          <w:tcPr>
            <w:tcW w:type="pct" w:w="20%"/>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L5-BU_OFFICE</w:t>
            </w:r>
          </w:p>
        </w:tc>
        <w:tc>
          <w:tcPr>
            <w:tcW w:type="pct" w:w="23%"/>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L4-BU_ENT</w:t>
            </w:r>
          </w:p>
        </w:tc>
        <w:tc>
          <w:tcPr>
            <w:tcW w:type="pct" w:w="20%"/>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SMB / TCP 445</w:t>
            </w:r>
          </w:p>
        </w:tc>
        <w:tc>
          <w:tcPr>
            <w:tcW w:type="pct" w:w="22%"/>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w:t>
            </w:r>
          </w:p>
        </w:tc>
      </w:tr>
    </w:tbl>
    <w:p>
      <w:pPr>
        <w:spacing w:after="120" w:before="0"/>
      </w:pPr>
      <w:r>
        <w:rPr>
          <w:rFonts w:ascii="Arial" w:cs="Arial" w:eastAsia="Arial" w:hAnsi="Arial"/>
          <w:b w:val="false"/>
          <w:bCs w:val="false"/>
          <w:i w:val="false"/>
          <w:iCs w:val="false"/>
          <w:color w:val="333333"/>
          <w:sz w:val="20"/>
          <w:szCs w:val="20"/>
        </w:rPr>
        <w:t xml:space="preserve"> </w:t>
      </w:r>
    </w:p>
    <w:p>
      <w:pPr>
        <w:spacing w:after="60" w:before="120"/>
      </w:pPr>
      <w:r>
        <w:rPr>
          <w:rFonts w:ascii="Arial" w:cs="Arial" w:eastAsia="Arial" w:hAnsi="Arial"/>
          <w:b/>
          <w:bCs/>
          <w:i w:val="false"/>
          <w:iCs w:val="false"/>
          <w:color w:val="333333"/>
          <w:sz w:val="19"/>
          <w:szCs w:val="19"/>
        </w:rPr>
        <w:t xml:space="preserve">4.3 Remote Access Application Proliferation (SLR Data)</w:t>
      </w:r>
    </w:p>
    <w:p>
      <w:pPr>
        <w:spacing w:after="120" w:before="40"/>
        <w:jc w:val="left"/>
      </w:pPr>
      <w:r>
        <w:rPr>
          <w:rFonts w:ascii="Arial" w:cs="Arial" w:eastAsia="Arial" w:hAnsi="Arial"/>
          <w:b w:val="false"/>
          <w:bCs w:val="false"/>
          <w:i w:val="false"/>
          <w:iCs w:val="false"/>
          <w:color w:val="333333"/>
          <w:sz w:val="20"/>
          <w:szCs w:val="20"/>
        </w:rPr>
        <w:t xml:space="preserve">30 remote access applications detected vs. industry average of 9. Significant unmanaged tool sprawl with multiple Risk-4/5 tools transiting production zones.</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gridCol w:w="100"/>
        <w:gridCol w:w="100"/>
      </w:tblGrid>
      <w:tr>
        <w:trPr>
          <w:tblHeader/>
        </w:trPr>
        <w:tc>
          <w:tcPr>
            <w:tcW w:type="pct" w:w="28%"/>
            <w:tcBorders>
              <w:top w:val="single" w:color="CCCCCC" w:sz="1"/>
              <w:left w:val="single" w:color="CCCCCC" w:sz="1"/>
              <w:bottom w:val="single" w:color="CCCCCC" w:sz="1"/>
              <w:right w:val="single" w:color="CCCCCC" w:sz="1"/>
            </w:tcBorders>
            <w:shd w:fill="FA4616"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Application</w:t>
            </w:r>
          </w:p>
        </w:tc>
        <w:tc>
          <w:tcPr>
            <w:tcW w:type="pct" w:w="12%"/>
            <w:tcBorders>
              <w:top w:val="single" w:color="CCCCCC" w:sz="1"/>
              <w:left w:val="single" w:color="CCCCCC" w:sz="1"/>
              <w:bottom w:val="single" w:color="CCCCCC" w:sz="1"/>
              <w:right w:val="single" w:color="CCCCCC" w:sz="1"/>
            </w:tcBorders>
            <w:shd w:fill="FA4616"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Bandwidth</w:t>
            </w:r>
          </w:p>
        </w:tc>
        <w:tc>
          <w:tcPr>
            <w:tcW w:type="pct" w:w="12%"/>
            <w:tcBorders>
              <w:top w:val="single" w:color="CCCCCC" w:sz="1"/>
              <w:left w:val="single" w:color="CCCCCC" w:sz="1"/>
              <w:bottom w:val="single" w:color="CCCCCC" w:sz="1"/>
              <w:right w:val="single" w:color="CCCCCC" w:sz="1"/>
            </w:tcBorders>
            <w:shd w:fill="FA4616"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Sessions</w:t>
            </w:r>
          </w:p>
        </w:tc>
        <w:tc>
          <w:tcPr>
            <w:tcW w:type="pct" w:w="8%"/>
            <w:tcBorders>
              <w:top w:val="single" w:color="CCCCCC" w:sz="1"/>
              <w:left w:val="single" w:color="CCCCCC" w:sz="1"/>
              <w:bottom w:val="single" w:color="CCCCCC" w:sz="1"/>
              <w:right w:val="single" w:color="CCCCCC" w:sz="1"/>
            </w:tcBorders>
            <w:shd w:fill="FA4616"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Risk</w:t>
            </w:r>
          </w:p>
        </w:tc>
        <w:tc>
          <w:tcPr>
            <w:tcW w:type="pct" w:w="40%"/>
            <w:tcBorders>
              <w:top w:val="single" w:color="CCCCCC" w:sz="1"/>
              <w:left w:val="single" w:color="CCCCCC" w:sz="1"/>
              <w:bottom w:val="single" w:color="CCCCCC" w:sz="1"/>
              <w:right w:val="single" w:color="CCCCCC" w:sz="1"/>
            </w:tcBorders>
            <w:shd w:fill="FA4616"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Note</w:t>
            </w:r>
          </w:p>
        </w:tc>
      </w:tr>
      <w:tr>
        <w:tc>
          <w:tcPr>
            <w:tcW w:type="pct" w:w="28%"/>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windows-remote-management</w:t>
            </w:r>
          </w:p>
        </w:tc>
        <w:tc>
          <w:tcPr>
            <w:tcW w:type="pct" w:w="12%"/>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2.92 TB</w:t>
            </w:r>
          </w:p>
        </w:tc>
        <w:tc>
          <w:tcPr>
            <w:tcW w:type="pct" w:w="12%"/>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19.8M</w:t>
            </w:r>
          </w:p>
        </w:tc>
        <w:tc>
          <w:tcPr>
            <w:tcW w:type="pct" w:w="8%"/>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1</w:t>
            </w:r>
          </w:p>
        </w:tc>
        <w:tc>
          <w:tcPr>
            <w:tcW w:type="pct" w:w="4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Brute force abuse detected (see §4.1)</w:t>
            </w:r>
          </w:p>
        </w:tc>
      </w:tr>
      <w:tr>
        <w:tc>
          <w:tcPr>
            <w:tcW w:type="pct" w:w="28%"/>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vnc-base</w:t>
            </w:r>
          </w:p>
        </w:tc>
        <w:tc>
          <w:tcPr>
            <w:tcW w:type="pct" w:w="12%"/>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570 GB</w:t>
            </w:r>
          </w:p>
        </w:tc>
        <w:tc>
          <w:tcPr>
            <w:tcW w:type="pct" w:w="12%"/>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192</w:t>
            </w:r>
          </w:p>
        </w:tc>
        <w:tc>
          <w:tcPr>
            <w:tcW w:type="pct" w:w="8%"/>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CC0000"/>
                <w:sz w:val="18"/>
                <w:szCs w:val="18"/>
              </w:rPr>
              <w:t xml:space="preserve">5</w:t>
            </w:r>
          </w:p>
        </w:tc>
        <w:tc>
          <w:tcPr>
            <w:tcW w:type="pct" w:w="40%"/>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Risk-5, unencrypted sessions</w:t>
            </w:r>
          </w:p>
        </w:tc>
      </w:tr>
      <w:tr>
        <w:tc>
          <w:tcPr>
            <w:tcW w:type="pct" w:w="28%"/>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splashtop-remote</w:t>
            </w:r>
          </w:p>
        </w:tc>
        <w:tc>
          <w:tcPr>
            <w:tcW w:type="pct" w:w="12%"/>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31.4 GB</w:t>
            </w:r>
          </w:p>
        </w:tc>
        <w:tc>
          <w:tcPr>
            <w:tcW w:type="pct" w:w="12%"/>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847K</w:t>
            </w:r>
          </w:p>
        </w:tc>
        <w:tc>
          <w:tcPr>
            <w:tcW w:type="pct" w:w="8%"/>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3</w:t>
            </w:r>
          </w:p>
        </w:tc>
        <w:tc>
          <w:tcPr>
            <w:tcW w:type="pct" w:w="4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Consumer-grade remote tool</w:t>
            </w:r>
          </w:p>
        </w:tc>
      </w:tr>
      <w:tr>
        <w:tc>
          <w:tcPr>
            <w:tcW w:type="pct" w:w="28%"/>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ms-rdp</w:t>
            </w:r>
          </w:p>
        </w:tc>
        <w:tc>
          <w:tcPr>
            <w:tcW w:type="pct" w:w="12%"/>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21.0 GB</w:t>
            </w:r>
          </w:p>
        </w:tc>
        <w:tc>
          <w:tcPr>
            <w:tcW w:type="pct" w:w="12%"/>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12,754</w:t>
            </w:r>
          </w:p>
        </w:tc>
        <w:tc>
          <w:tcPr>
            <w:tcW w:type="pct" w:w="8%"/>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E07800"/>
                <w:sz w:val="18"/>
                <w:szCs w:val="18"/>
              </w:rPr>
              <w:t xml:space="preserve">4</w:t>
            </w:r>
          </w:p>
        </w:tc>
        <w:tc>
          <w:tcPr>
            <w:tcW w:type="pct" w:w="40%"/>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Risk-4, policy review needed</w:t>
            </w:r>
          </w:p>
        </w:tc>
      </w:tr>
      <w:tr>
        <w:tc>
          <w:tcPr>
            <w:tcW w:type="pct" w:w="28%"/>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anydesk</w:t>
            </w:r>
          </w:p>
        </w:tc>
        <w:tc>
          <w:tcPr>
            <w:tcW w:type="pct" w:w="12%"/>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16.5 GB</w:t>
            </w:r>
          </w:p>
        </w:tc>
        <w:tc>
          <w:tcPr>
            <w:tcW w:type="pct" w:w="12%"/>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684</w:t>
            </w:r>
          </w:p>
        </w:tc>
        <w:tc>
          <w:tcPr>
            <w:tcW w:type="pct" w:w="8%"/>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3</w:t>
            </w:r>
          </w:p>
        </w:tc>
        <w:tc>
          <w:tcPr>
            <w:tcW w:type="pct" w:w="4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Consumer-grade remote tool</w:t>
            </w:r>
          </w:p>
        </w:tc>
      </w:tr>
      <w:tr>
        <w:tc>
          <w:tcPr>
            <w:tcW w:type="pct" w:w="28%"/>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teamviewer-base</w:t>
            </w:r>
          </w:p>
        </w:tc>
        <w:tc>
          <w:tcPr>
            <w:tcW w:type="pct" w:w="12%"/>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10.7 GB</w:t>
            </w:r>
          </w:p>
        </w:tc>
        <w:tc>
          <w:tcPr>
            <w:tcW w:type="pct" w:w="12%"/>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3,806</w:t>
            </w:r>
          </w:p>
        </w:tc>
        <w:tc>
          <w:tcPr>
            <w:tcW w:type="pct" w:w="8%"/>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2</w:t>
            </w:r>
          </w:p>
        </w:tc>
        <w:tc>
          <w:tcPr>
            <w:tcW w:type="pct" w:w="40%"/>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Managed deployment — verify</w:t>
            </w:r>
          </w:p>
        </w:tc>
      </w:tr>
      <w:tr>
        <w:tc>
          <w:tcPr>
            <w:tcW w:type="pct" w:w="28%"/>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screenconnect</w:t>
            </w:r>
          </w:p>
        </w:tc>
        <w:tc>
          <w:tcPr>
            <w:tcW w:type="pct" w:w="12%"/>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8.19 GB</w:t>
            </w:r>
          </w:p>
        </w:tc>
        <w:tc>
          <w:tcPr>
            <w:tcW w:type="pct" w:w="12%"/>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7,709</w:t>
            </w:r>
          </w:p>
        </w:tc>
        <w:tc>
          <w:tcPr>
            <w:tcW w:type="pct" w:w="8%"/>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E07800"/>
                <w:sz w:val="18"/>
                <w:szCs w:val="18"/>
              </w:rPr>
              <w:t xml:space="preserve">4</w:t>
            </w:r>
          </w:p>
        </w:tc>
        <w:tc>
          <w:tcPr>
            <w:tcW w:type="pct" w:w="4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Risk-4, validate licensing/auth</w:t>
            </w:r>
          </w:p>
        </w:tc>
      </w:tr>
    </w:tbl>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tblGrid>
      <w:tr>
        <w:tc>
          <w:tcPr>
            <w:tcW w:type="pct" w:w="100%"/>
            <w:tcBorders>
              <w:top w:val="single" w:color="CCCCCC" w:sz="1"/>
              <w:left w:val="single" w:color="CCCCCC" w:sz="1"/>
              <w:bottom w:val="single" w:color="CCCCCC" w:sz="1"/>
              <w:right w:val="single" w:color="CCCCCC" w:sz="1"/>
            </w:tcBorders>
            <w:shd w:fill="FA4616" w:color="auto" w:val="clear"/>
            <w:tcMar>
              <w:top w:type="dxa" w:w="80"/>
              <w:left w:type="dxa" w:w="120"/>
              <w:bottom w:type="dxa" w:w="80"/>
              <w:right w:type="dxa" w:w="120"/>
            </w:tcMar>
          </w:tcPr>
          <w:p>
            <w:pPr>
              <w:spacing w:after="80" w:before="80"/>
            </w:pPr>
            <w:r>
              <w:rPr>
                <w:rFonts w:ascii="Arial" w:cs="Arial" w:eastAsia="Arial" w:hAnsi="Arial"/>
                <w:b/>
                <w:bCs/>
                <w:i w:val="false"/>
                <w:iCs w:val="false"/>
                <w:color w:val="FFFFFF"/>
                <w:sz w:val="18"/>
                <w:szCs w:val="18"/>
              </w:rPr>
              <w:t xml:space="preserve">⚠  SO WHAT — WHY THIS MATTERS</w:t>
            </w:r>
          </w:p>
        </w:tc>
      </w:tr>
      <w:tr>
        <w:tc>
          <w:tcPr>
            <w:tcW w:type="pct" w:w="100%"/>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pPr>
            <w:r>
              <w:rPr>
                <w:rFonts w:ascii="Arial" w:cs="Arial" w:eastAsia="Arial" w:hAnsi="Arial"/>
                <w:b/>
                <w:bCs/>
                <w:i w:val="false"/>
                <w:iCs w:val="false"/>
                <w:color w:val="FA4616"/>
                <w:sz w:val="20"/>
                <w:szCs w:val="20"/>
              </w:rPr>
              <w:t xml:space="preserve">› </w:t>
            </w:r>
            <w:r>
              <w:rPr>
                <w:rFonts w:ascii="Arial" w:cs="Arial" w:eastAsia="Arial" w:hAnsi="Arial"/>
                <w:b w:val="false"/>
                <w:bCs w:val="false"/>
                <w:i w:val="false"/>
                <w:iCs w:val="false"/>
                <w:color w:val="333333"/>
                <w:sz w:val="20"/>
                <w:szCs w:val="20"/>
              </w:rPr>
              <w:t xml:space="preserve">WRM traffic crossing from L4-BU_ENT into INTERNAL is the textbook definition of lateral movement. 24.4 MB of successful data transfer means connections completed.</w:t>
            </w:r>
          </w:p>
        </w:tc>
      </w:tr>
      <w:tr>
        <w:tc>
          <w:tcPr>
            <w:tcW w:type="pct" w:w="1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pPr>
            <w:r>
              <w:rPr>
                <w:rFonts w:ascii="Arial" w:cs="Arial" w:eastAsia="Arial" w:hAnsi="Arial"/>
                <w:b/>
                <w:bCs/>
                <w:i w:val="false"/>
                <w:iCs w:val="false"/>
                <w:color w:val="FA4616"/>
                <w:sz w:val="20"/>
                <w:szCs w:val="20"/>
              </w:rPr>
              <w:t xml:space="preserve">› </w:t>
            </w:r>
            <w:r>
              <w:rPr>
                <w:rFonts w:ascii="Arial" w:cs="Arial" w:eastAsia="Arial" w:hAnsi="Arial"/>
                <w:b w:val="false"/>
                <w:bCs w:val="false"/>
                <w:i w:val="false"/>
                <w:iCs w:val="false"/>
                <w:color w:val="333333"/>
                <w:sz w:val="20"/>
                <w:szCs w:val="20"/>
              </w:rPr>
              <w:t xml:space="preserve">SMB traffic crossing from L5-BU_OFFICE to L4-BU_ENT means office workstations are talking directly to enterprise servers. In a ransomware scenario this is exactly the pathway used to spread from a desktop to production systems.</w:t>
            </w:r>
          </w:p>
        </w:tc>
      </w:tr>
      <w:tr>
        <w:tc>
          <w:tcPr>
            <w:tcW w:type="pct" w:w="100%"/>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pPr>
            <w:r>
              <w:rPr>
                <w:rFonts w:ascii="Arial" w:cs="Arial" w:eastAsia="Arial" w:hAnsi="Arial"/>
                <w:b/>
                <w:bCs/>
                <w:i w:val="false"/>
                <w:iCs w:val="false"/>
                <w:color w:val="FA4616"/>
                <w:sz w:val="20"/>
                <w:szCs w:val="20"/>
              </w:rPr>
              <w:t xml:space="preserve">› </w:t>
            </w:r>
            <w:r>
              <w:rPr>
                <w:rFonts w:ascii="Arial" w:cs="Arial" w:eastAsia="Arial" w:hAnsi="Arial"/>
                <w:b w:val="false"/>
                <w:bCs w:val="false"/>
                <w:i w:val="false"/>
                <w:iCs w:val="false"/>
                <w:color w:val="333333"/>
                <w:sz w:val="20"/>
                <w:szCs w:val="20"/>
              </w:rPr>
              <w:t xml:space="preserve">30 remote access tools vs. 9 industry average — every unmanaged tool is a potential backdoor. AnyDesk and VNC are heavily abused by ransomware operators for persistent access.</w:t>
            </w:r>
          </w:p>
        </w:tc>
      </w:tr>
      <w:tr>
        <w:tc>
          <w:tcPr>
            <w:tcW w:type="pct" w:w="1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pPr>
            <w:r>
              <w:rPr>
                <w:rFonts w:ascii="Arial" w:cs="Arial" w:eastAsia="Arial" w:hAnsi="Arial"/>
                <w:b/>
                <w:bCs/>
                <w:i w:val="false"/>
                <w:iCs w:val="false"/>
                <w:color w:val="FA4616"/>
                <w:sz w:val="20"/>
                <w:szCs w:val="20"/>
              </w:rPr>
              <w:t xml:space="preserve">› </w:t>
            </w:r>
            <w:r>
              <w:rPr>
                <w:rFonts w:ascii="Arial" w:cs="Arial" w:eastAsia="Arial" w:hAnsi="Arial"/>
                <w:b w:val="false"/>
                <w:bCs w:val="false"/>
                <w:i w:val="false"/>
                <w:iCs w:val="false"/>
                <w:color w:val="333333"/>
                <w:sz w:val="20"/>
                <w:szCs w:val="20"/>
              </w:rPr>
              <w:t xml:space="preserve">The idexcorpnet\paloalto account appearing in WRM brute force events is particularly concerning — if shared, an attacker who compromises it gains administrative reach across every system it touches.</w:t>
            </w:r>
          </w:p>
        </w:tc>
      </w:tr>
    </w:tbl>
    <w:p>
      <w:r>
        <w:br w:type="page"/>
      </w:r>
    </w:p>
    <w:p>
      <w:pPr>
        <w:pBdr>
          <w:bottom w:val="single" w:color="FA4616" w:sz="6"/>
        </w:pBdr>
        <w:spacing w:after="120" w:before="280"/>
      </w:pPr>
      <w:r>
        <w:rPr>
          <w:rFonts w:ascii="Arial" w:cs="Arial" w:eastAsia="Arial" w:hAnsi="Arial"/>
          <w:b/>
          <w:bCs/>
          <w:i w:val="false"/>
          <w:iCs w:val="false"/>
          <w:color w:val="FA4616"/>
          <w:sz w:val="26"/>
          <w:szCs w:val="26"/>
        </w:rPr>
        <w:t xml:space="preserve">5. Application Risk &amp; SaaS Exposure</w:t>
      </w:r>
    </w:p>
    <w:p>
      <w:pPr>
        <w:spacing w:after="120" w:before="40"/>
        <w:jc w:val="left"/>
      </w:pPr>
      <w:r>
        <w:rPr>
          <w:rFonts w:ascii="Arial" w:cs="Arial" w:eastAsia="Arial" w:hAnsi="Arial"/>
          <w:b w:val="false"/>
          <w:bCs w:val="false"/>
          <w:i w:val="false"/>
          <w:iCs w:val="false"/>
          <w:color w:val="333333"/>
          <w:sz w:val="20"/>
          <w:szCs w:val="20"/>
        </w:rPr>
        <w:t xml:space="preserve">Total bandwidth observed: 125.17 TB. 411 SaaS applications detected (55.62% of all apps vs. 49% industry average). SaaS bandwidth 55.43 TB = 44.3% of all traffic vs. 0.4% industry average — driven primarily by Azure storage.</w:t>
      </w:r>
    </w:p>
    <w:p>
      <w:pPr>
        <w:spacing w:after="120" w:before="0"/>
      </w:pPr>
      <w:r>
        <w:rPr>
          <w:rFonts w:ascii="Arial" w:cs="Arial" w:eastAsia="Arial" w:hAnsi="Arial"/>
          <w:b w:val="false"/>
          <w:bCs w:val="false"/>
          <w:i w:val="false"/>
          <w:iCs w:val="false"/>
          <w:color w:val="333333"/>
          <w:sz w:val="20"/>
          <w:szCs w:val="20"/>
        </w:rPr>
        <w:t xml:space="preserve"> </w:t>
      </w:r>
    </w:p>
    <w:p>
      <w:pPr>
        <w:spacing w:after="60" w:before="120"/>
      </w:pPr>
      <w:r>
        <w:rPr>
          <w:rFonts w:ascii="Arial" w:cs="Arial" w:eastAsia="Arial" w:hAnsi="Arial"/>
          <w:b/>
          <w:bCs/>
          <w:i w:val="false"/>
          <w:iCs w:val="false"/>
          <w:color w:val="333333"/>
          <w:sz w:val="19"/>
          <w:szCs w:val="19"/>
        </w:rPr>
        <w:t xml:space="preserve">5.1 Bandwidth by Risk Level</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gridCol w:w="100"/>
      </w:tblGrid>
      <w:tr>
        <w:trPr>
          <w:tblHeader/>
        </w:trPr>
        <w:tc>
          <w:tcPr>
            <w:tcW w:type="pct" w:w="24%"/>
            <w:tcBorders>
              <w:top w:val="single" w:color="CCCCCC" w:sz="1"/>
              <w:left w:val="single" w:color="CCCCCC" w:sz="1"/>
              <w:bottom w:val="single" w:color="CCCCCC" w:sz="1"/>
              <w:right w:val="single" w:color="CCCCCC" w:sz="1"/>
            </w:tcBorders>
            <w:shd w:fill="FA4616"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Risk Level</w:t>
            </w:r>
          </w:p>
        </w:tc>
        <w:tc>
          <w:tcPr>
            <w:tcW w:type="pct" w:w="15%"/>
            <w:tcBorders>
              <w:top w:val="single" w:color="CCCCCC" w:sz="1"/>
              <w:left w:val="single" w:color="CCCCCC" w:sz="1"/>
              <w:bottom w:val="single" w:color="CCCCCC" w:sz="1"/>
              <w:right w:val="single" w:color="CCCCCC" w:sz="1"/>
            </w:tcBorders>
            <w:shd w:fill="FA4616"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Bandwidth (TB)</w:t>
            </w:r>
          </w:p>
        </w:tc>
        <w:tc>
          <w:tcPr>
            <w:tcW w:type="pct" w:w="13%"/>
            <w:tcBorders>
              <w:top w:val="single" w:color="CCCCCC" w:sz="1"/>
              <w:left w:val="single" w:color="CCCCCC" w:sz="1"/>
              <w:bottom w:val="single" w:color="CCCCCC" w:sz="1"/>
              <w:right w:val="single" w:color="CCCCCC" w:sz="1"/>
            </w:tcBorders>
            <w:shd w:fill="FA4616"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 of Total</w:t>
            </w:r>
          </w:p>
        </w:tc>
        <w:tc>
          <w:tcPr>
            <w:tcW w:type="pct" w:w="48%"/>
            <w:tcBorders>
              <w:top w:val="single" w:color="CCCCCC" w:sz="1"/>
              <w:left w:val="single" w:color="CCCCCC" w:sz="1"/>
              <w:bottom w:val="single" w:color="CCCCCC" w:sz="1"/>
              <w:right w:val="single" w:color="CCCCCC" w:sz="1"/>
            </w:tcBorders>
            <w:shd w:fill="FA4616"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Description</w:t>
            </w:r>
          </w:p>
        </w:tc>
      </w:tr>
      <w:tr>
        <w:tc>
          <w:tcPr>
            <w:tcW w:type="pct" w:w="24%"/>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Risk 1 (Low)</w:t>
            </w:r>
          </w:p>
        </w:tc>
        <w:tc>
          <w:tcPr>
            <w:tcW w:type="pct" w:w="15%"/>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61.72</w:t>
            </w:r>
          </w:p>
        </w:tc>
        <w:tc>
          <w:tcPr>
            <w:tcW w:type="pct" w:w="13%"/>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35.0%</w:t>
            </w:r>
          </w:p>
        </w:tc>
        <w:tc>
          <w:tcPr>
            <w:tcW w:type="pct" w:w="48%"/>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Business-necessary, low-risk protocols</w:t>
            </w:r>
          </w:p>
        </w:tc>
      </w:tr>
      <w:tr>
        <w:tc>
          <w:tcPr>
            <w:tcW w:type="pct" w:w="24%"/>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Risk 2</w:t>
            </w:r>
          </w:p>
        </w:tc>
        <w:tc>
          <w:tcPr>
            <w:tcW w:type="pct" w:w="15%"/>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8.83</w:t>
            </w:r>
          </w:p>
        </w:tc>
        <w:tc>
          <w:tcPr>
            <w:tcW w:type="pct" w:w="13%"/>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5.0%</w:t>
            </w:r>
          </w:p>
        </w:tc>
        <w:tc>
          <w:tcPr>
            <w:tcW w:type="pct" w:w="48%"/>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Moderate-risk, some policy action needed</w:t>
            </w:r>
          </w:p>
        </w:tc>
      </w:tr>
      <w:tr>
        <w:tc>
          <w:tcPr>
            <w:tcW w:type="pct" w:w="24%"/>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Risk 3</w:t>
            </w:r>
          </w:p>
        </w:tc>
        <w:tc>
          <w:tcPr>
            <w:tcW w:type="pct" w:w="15%"/>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11.47</w:t>
            </w:r>
          </w:p>
        </w:tc>
        <w:tc>
          <w:tcPr>
            <w:tcW w:type="pct" w:w="13%"/>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6.5%</w:t>
            </w:r>
          </w:p>
        </w:tc>
        <w:tc>
          <w:tcPr>
            <w:tcW w:type="pct" w:w="48%"/>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Elevated risk, review recommended</w:t>
            </w:r>
          </w:p>
        </w:tc>
      </w:tr>
      <w:tr>
        <w:tc>
          <w:tcPr>
            <w:tcW w:type="pct" w:w="24%"/>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Risk 4 (High)</w:t>
            </w:r>
          </w:p>
        </w:tc>
        <w:tc>
          <w:tcPr>
            <w:tcW w:type="pct" w:w="15%"/>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93.64</w:t>
            </w:r>
          </w:p>
        </w:tc>
        <w:tc>
          <w:tcPr>
            <w:tcW w:type="pct" w:w="13%"/>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53.0%</w:t>
            </w:r>
          </w:p>
        </w:tc>
        <w:tc>
          <w:tcPr>
            <w:tcW w:type="pct" w:w="48%"/>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CC0000"/>
                <w:sz w:val="18"/>
                <w:szCs w:val="18"/>
              </w:rPr>
              <w:t xml:space="preserve">High-risk — dominant risk category</w:t>
            </w:r>
          </w:p>
        </w:tc>
      </w:tr>
      <w:tr>
        <w:tc>
          <w:tcPr>
            <w:tcW w:type="pct" w:w="24%"/>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Risk 5 (Critical)</w:t>
            </w:r>
          </w:p>
        </w:tc>
        <w:tc>
          <w:tcPr>
            <w:tcW w:type="pct" w:w="15%"/>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0.87</w:t>
            </w:r>
          </w:p>
        </w:tc>
        <w:tc>
          <w:tcPr>
            <w:tcW w:type="pct" w:w="13%"/>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0.5%</w:t>
            </w:r>
          </w:p>
        </w:tc>
        <w:tc>
          <w:tcPr>
            <w:tcW w:type="pct" w:w="48%"/>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VNC, BitTorrent, FTP, SMTP relay</w:t>
            </w:r>
          </w:p>
        </w:tc>
      </w:tr>
    </w:tbl>
    <w:p>
      <w:pPr>
        <w:spacing w:after="120" w:before="0"/>
      </w:pPr>
      <w:r>
        <w:rPr>
          <w:rFonts w:ascii="Arial" w:cs="Arial" w:eastAsia="Arial" w:hAnsi="Arial"/>
          <w:b w:val="false"/>
          <w:bCs w:val="false"/>
          <w:i w:val="false"/>
          <w:iCs w:val="false"/>
          <w:color w:val="333333"/>
          <w:sz w:val="20"/>
          <w:szCs w:val="20"/>
        </w:rPr>
        <w:t xml:space="preserve"> </w:t>
      </w:r>
    </w:p>
    <w:p>
      <w:pPr>
        <w:spacing w:after="60" w:before="120"/>
      </w:pPr>
      <w:r>
        <w:rPr>
          <w:rFonts w:ascii="Arial" w:cs="Arial" w:eastAsia="Arial" w:hAnsi="Arial"/>
          <w:b/>
          <w:bCs/>
          <w:i w:val="false"/>
          <w:iCs w:val="false"/>
          <w:color w:val="333333"/>
          <w:sz w:val="19"/>
          <w:szCs w:val="19"/>
        </w:rPr>
        <w:t xml:space="preserve">5.2 Top High-Risk Applications (Risk 4–5, by bandwidth)</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gridCol w:w="100"/>
      </w:tblGrid>
      <w:tr>
        <w:trPr>
          <w:tblHeader/>
        </w:trPr>
        <w:tc>
          <w:tcPr>
            <w:tcW w:type="pct" w:w="28%"/>
            <w:tcBorders>
              <w:top w:val="single" w:color="CCCCCC" w:sz="1"/>
              <w:left w:val="single" w:color="CCCCCC" w:sz="1"/>
              <w:bottom w:val="single" w:color="CCCCCC" w:sz="1"/>
              <w:right w:val="single" w:color="CCCCCC" w:sz="1"/>
            </w:tcBorders>
            <w:shd w:fill="FA4616"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Application</w:t>
            </w:r>
          </w:p>
        </w:tc>
        <w:tc>
          <w:tcPr>
            <w:tcW w:type="pct" w:w="14%"/>
            <w:tcBorders>
              <w:top w:val="single" w:color="CCCCCC" w:sz="1"/>
              <w:left w:val="single" w:color="CCCCCC" w:sz="1"/>
              <w:bottom w:val="single" w:color="CCCCCC" w:sz="1"/>
              <w:right w:val="single" w:color="CCCCCC" w:sz="1"/>
            </w:tcBorders>
            <w:shd w:fill="FA4616"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Bandwidth</w:t>
            </w:r>
          </w:p>
        </w:tc>
        <w:tc>
          <w:tcPr>
            <w:tcW w:type="pct" w:w="8%"/>
            <w:tcBorders>
              <w:top w:val="single" w:color="CCCCCC" w:sz="1"/>
              <w:left w:val="single" w:color="CCCCCC" w:sz="1"/>
              <w:bottom w:val="single" w:color="CCCCCC" w:sz="1"/>
              <w:right w:val="single" w:color="CCCCCC" w:sz="1"/>
            </w:tcBorders>
            <w:shd w:fill="FA4616"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Risk</w:t>
            </w:r>
          </w:p>
        </w:tc>
        <w:tc>
          <w:tcPr>
            <w:tcW w:type="pct" w:w="50%"/>
            <w:tcBorders>
              <w:top w:val="single" w:color="CCCCCC" w:sz="1"/>
              <w:left w:val="single" w:color="CCCCCC" w:sz="1"/>
              <w:bottom w:val="single" w:color="CCCCCC" w:sz="1"/>
              <w:right w:val="single" w:color="CCCCCC" w:sz="1"/>
            </w:tcBorders>
            <w:shd w:fill="FA4616"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Action Required</w:t>
            </w:r>
          </w:p>
        </w:tc>
      </w:tr>
      <w:tr>
        <w:tc>
          <w:tcPr>
            <w:tcW w:type="pct" w:w="28%"/>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azure-storage-accounts-base</w:t>
            </w:r>
          </w:p>
        </w:tc>
        <w:tc>
          <w:tcPr>
            <w:tcW w:type="pct" w:w="14%"/>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35,386 GB</w:t>
            </w:r>
          </w:p>
        </w:tc>
        <w:tc>
          <w:tcPr>
            <w:tcW w:type="pct" w:w="8%"/>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4</w:t>
            </w:r>
          </w:p>
        </w:tc>
        <w:tc>
          <w:tcPr>
            <w:tcW w:type="pct" w:w="5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Review DLP posture; 114 apps with no certifications</w:t>
            </w:r>
          </w:p>
        </w:tc>
      </w:tr>
      <w:tr>
        <w:tc>
          <w:tcPr>
            <w:tcW w:type="pct" w:w="28%"/>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ssl (encrypted traffic)</w:t>
            </w:r>
          </w:p>
        </w:tc>
        <w:tc>
          <w:tcPr>
            <w:tcW w:type="pct" w:w="14%"/>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33,665 GB</w:t>
            </w:r>
          </w:p>
        </w:tc>
        <w:tc>
          <w:tcPr>
            <w:tcW w:type="pct" w:w="8%"/>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4</w:t>
            </w:r>
          </w:p>
        </w:tc>
        <w:tc>
          <w:tcPr>
            <w:tcW w:type="pct" w:w="50%"/>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SSL inspection coverage required</w:t>
            </w:r>
          </w:p>
        </w:tc>
      </w:tr>
      <w:tr>
        <w:tc>
          <w:tcPr>
            <w:tcW w:type="pct" w:w="28%"/>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web-browsing</w:t>
            </w:r>
          </w:p>
        </w:tc>
        <w:tc>
          <w:tcPr>
            <w:tcW w:type="pct" w:w="14%"/>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3,715 GB</w:t>
            </w:r>
          </w:p>
        </w:tc>
        <w:tc>
          <w:tcPr>
            <w:tcW w:type="pct" w:w="8%"/>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4</w:t>
            </w:r>
          </w:p>
        </w:tc>
        <w:tc>
          <w:tcPr>
            <w:tcW w:type="pct" w:w="5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Multiple CVEs observed (see §3.2)</w:t>
            </w:r>
          </w:p>
        </w:tc>
      </w:tr>
      <w:tr>
        <w:tc>
          <w:tcPr>
            <w:tcW w:type="pct" w:w="28%"/>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ms-update</w:t>
            </w:r>
          </w:p>
        </w:tc>
        <w:tc>
          <w:tcPr>
            <w:tcW w:type="pct" w:w="14%"/>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2,772 GB</w:t>
            </w:r>
          </w:p>
        </w:tc>
        <w:tc>
          <w:tcPr>
            <w:tcW w:type="pct" w:w="8%"/>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4</w:t>
            </w:r>
          </w:p>
        </w:tc>
        <w:tc>
          <w:tcPr>
            <w:tcW w:type="pct" w:w="50%"/>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Verify patch management pipeline</w:t>
            </w:r>
          </w:p>
        </w:tc>
      </w:tr>
      <w:tr>
        <w:tc>
          <w:tcPr>
            <w:tcW w:type="pct" w:w="28%"/>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sip (VoIP)</w:t>
            </w:r>
          </w:p>
        </w:tc>
        <w:tc>
          <w:tcPr>
            <w:tcW w:type="pct" w:w="14%"/>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1,198 GB</w:t>
            </w:r>
          </w:p>
        </w:tc>
        <w:tc>
          <w:tcPr>
            <w:tcW w:type="pct" w:w="8%"/>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4</w:t>
            </w:r>
          </w:p>
        </w:tc>
        <w:tc>
          <w:tcPr>
            <w:tcW w:type="pct" w:w="5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SIPVicious scanner detected on DMZ</w:t>
            </w:r>
          </w:p>
        </w:tc>
      </w:tr>
      <w:tr>
        <w:tc>
          <w:tcPr>
            <w:tcW w:type="pct" w:w="28%"/>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vnc-base</w:t>
            </w:r>
          </w:p>
        </w:tc>
        <w:tc>
          <w:tcPr>
            <w:tcW w:type="pct" w:w="14%"/>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570 GB</w:t>
            </w:r>
          </w:p>
        </w:tc>
        <w:tc>
          <w:tcPr>
            <w:tcW w:type="pct" w:w="8%"/>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CC0000"/>
                <w:sz w:val="18"/>
                <w:szCs w:val="18"/>
              </w:rPr>
              <w:t xml:space="preserve">5</w:t>
            </w:r>
          </w:p>
        </w:tc>
        <w:tc>
          <w:tcPr>
            <w:tcW w:type="pct" w:w="50%"/>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Risk-5, 192 sessions — block or restrict</w:t>
            </w:r>
          </w:p>
        </w:tc>
      </w:tr>
      <w:tr>
        <w:tc>
          <w:tcPr>
            <w:tcW w:type="pct" w:w="28%"/>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bittorrent</w:t>
            </w:r>
          </w:p>
        </w:tc>
        <w:tc>
          <w:tcPr>
            <w:tcW w:type="pct" w:w="14%"/>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15.86 GB</w:t>
            </w:r>
          </w:p>
        </w:tc>
        <w:tc>
          <w:tcPr>
            <w:tcW w:type="pct" w:w="8%"/>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CC0000"/>
                <w:sz w:val="18"/>
                <w:szCs w:val="18"/>
              </w:rPr>
              <w:t xml:space="preserve">5</w:t>
            </w:r>
          </w:p>
        </w:tc>
        <w:tc>
          <w:tcPr>
            <w:tcW w:type="pct" w:w="5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Policy violation — block immediately</w:t>
            </w:r>
          </w:p>
        </w:tc>
      </w:tr>
      <w:tr>
        <w:tc>
          <w:tcPr>
            <w:tcW w:type="pct" w:w="28%"/>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ftp</w:t>
            </w:r>
          </w:p>
        </w:tc>
        <w:tc>
          <w:tcPr>
            <w:tcW w:type="pct" w:w="14%"/>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4.51 GB</w:t>
            </w:r>
          </w:p>
        </w:tc>
        <w:tc>
          <w:tcPr>
            <w:tcW w:type="pct" w:w="8%"/>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CC0000"/>
                <w:sz w:val="18"/>
                <w:szCs w:val="18"/>
              </w:rPr>
              <w:t xml:space="preserve">5</w:t>
            </w:r>
          </w:p>
        </w:tc>
        <w:tc>
          <w:tcPr>
            <w:tcW w:type="pct" w:w="50%"/>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Unencrypted file transfer — restrict</w:t>
            </w:r>
          </w:p>
        </w:tc>
      </w:tr>
    </w:tbl>
    <w:p>
      <w:pPr>
        <w:spacing w:after="120" w:before="0"/>
      </w:pPr>
      <w:r>
        <w:rPr>
          <w:rFonts w:ascii="Arial" w:cs="Arial" w:eastAsia="Arial" w:hAnsi="Arial"/>
          <w:b w:val="false"/>
          <w:bCs w:val="false"/>
          <w:i w:val="false"/>
          <w:iCs w:val="false"/>
          <w:color w:val="333333"/>
          <w:sz w:val="20"/>
          <w:szCs w:val="20"/>
        </w:rPr>
        <w:t xml:space="preserve"> </w:t>
      </w:r>
    </w:p>
    <w:p>
      <w:pPr>
        <w:spacing w:after="60" w:before="120"/>
      </w:pPr>
      <w:r>
        <w:rPr>
          <w:rFonts w:ascii="Arial" w:cs="Arial" w:eastAsia="Arial" w:hAnsi="Arial"/>
          <w:b/>
          <w:bCs/>
          <w:i w:val="false"/>
          <w:iCs w:val="false"/>
          <w:color w:val="333333"/>
          <w:sz w:val="19"/>
          <w:szCs w:val="19"/>
        </w:rPr>
        <w:t xml:space="preserve">5.3 SaaS Hosting Risk (411 SaaS Apps Observed)</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gridCol w:w="100"/>
      </w:tblGrid>
      <w:tr>
        <w:trPr>
          <w:tblHeader/>
        </w:trPr>
        <w:tc>
          <w:tcPr>
            <w:tcW w:type="pct" w:w="28%"/>
            <w:tcBorders>
              <w:top w:val="single" w:color="CCCCCC" w:sz="1"/>
              <w:left w:val="single" w:color="CCCCCC" w:sz="1"/>
              <w:bottom w:val="single" w:color="CCCCCC" w:sz="1"/>
              <w:right w:val="single" w:color="CCCCCC" w:sz="1"/>
            </w:tcBorders>
            <w:shd w:fill="FA4616"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Risk Category</w:t>
            </w:r>
          </w:p>
        </w:tc>
        <w:tc>
          <w:tcPr>
            <w:tcW w:type="pct" w:w="13%"/>
            <w:tcBorders>
              <w:top w:val="single" w:color="CCCCCC" w:sz="1"/>
              <w:left w:val="single" w:color="CCCCCC" w:sz="1"/>
              <w:bottom w:val="single" w:color="CCCCCC" w:sz="1"/>
              <w:right w:val="single" w:color="CCCCCC" w:sz="1"/>
            </w:tcBorders>
            <w:shd w:fill="FA4616"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App Count</w:t>
            </w:r>
          </w:p>
        </w:tc>
        <w:tc>
          <w:tcPr>
            <w:tcW w:type="pct" w:w="16%"/>
            <w:tcBorders>
              <w:top w:val="single" w:color="CCCCCC" w:sz="1"/>
              <w:left w:val="single" w:color="CCCCCC" w:sz="1"/>
              <w:bottom w:val="single" w:color="CCCCCC" w:sz="1"/>
              <w:right w:val="single" w:color="CCCCCC" w:sz="1"/>
            </w:tcBorders>
            <w:shd w:fill="FA4616"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Bandwidth</w:t>
            </w:r>
          </w:p>
        </w:tc>
        <w:tc>
          <w:tcPr>
            <w:tcW w:type="pct" w:w="43%"/>
            <w:tcBorders>
              <w:top w:val="single" w:color="CCCCCC" w:sz="1"/>
              <w:left w:val="single" w:color="CCCCCC" w:sz="1"/>
              <w:bottom w:val="single" w:color="CCCCCC" w:sz="1"/>
              <w:right w:val="single" w:color="CCCCCC" w:sz="1"/>
            </w:tcBorders>
            <w:shd w:fill="FA4616"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Notable Apps</w:t>
            </w:r>
          </w:p>
        </w:tc>
      </w:tr>
      <w:tr>
        <w:tc>
          <w:tcPr>
            <w:tcW w:type="pct" w:w="28%"/>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No Security Certifications</w:t>
            </w:r>
          </w:p>
        </w:tc>
        <w:tc>
          <w:tcPr>
            <w:tcW w:type="pct" w:w="13%"/>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114</w:t>
            </w:r>
          </w:p>
        </w:tc>
        <w:tc>
          <w:tcPr>
            <w:tcW w:type="pct" w:w="16%"/>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35.49 TB</w:t>
            </w:r>
          </w:p>
        </w:tc>
        <w:tc>
          <w:tcPr>
            <w:tcW w:type="pct" w:w="43%"/>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azure-storage-accounts-base (35.39 TB)</w:t>
            </w:r>
          </w:p>
        </w:tc>
      </w:tr>
      <w:tr>
        <w:tc>
          <w:tcPr>
            <w:tcW w:type="pct" w:w="28%"/>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Poor Terms of Service</w:t>
            </w:r>
          </w:p>
        </w:tc>
        <w:tc>
          <w:tcPr>
            <w:tcW w:type="pct" w:w="13%"/>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51</w:t>
            </w:r>
          </w:p>
        </w:tc>
        <w:tc>
          <w:tcPr>
            <w:tcW w:type="pct" w:w="16%"/>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42.19 GB</w:t>
            </w:r>
          </w:p>
        </w:tc>
        <w:tc>
          <w:tcPr>
            <w:tcW w:type="pct" w:w="43%"/>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new-relic, teamviewer, ringcentral</w:t>
            </w:r>
          </w:p>
        </w:tc>
      </w:tr>
      <w:tr>
        <w:tc>
          <w:tcPr>
            <w:tcW w:type="pct" w:w="28%"/>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Known Data Breaches</w:t>
            </w:r>
          </w:p>
        </w:tc>
        <w:tc>
          <w:tcPr>
            <w:tcW w:type="pct" w:w="13%"/>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8</w:t>
            </w:r>
          </w:p>
        </w:tc>
        <w:tc>
          <w:tcPr>
            <w:tcW w:type="pct" w:w="16%"/>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59.38 GB</w:t>
            </w:r>
          </w:p>
        </w:tc>
        <w:tc>
          <w:tcPr>
            <w:tcW w:type="pct" w:w="43%"/>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microsoft-dynamics-crm (59.21 GB), yahoo-mail</w:t>
            </w:r>
          </w:p>
        </w:tc>
      </w:tr>
      <w:tr>
        <w:tc>
          <w:tcPr>
            <w:tcW w:type="pct" w:w="28%"/>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Poor Financial Viability</w:t>
            </w:r>
          </w:p>
        </w:tc>
        <w:tc>
          <w:tcPr>
            <w:tcW w:type="pct" w:w="13%"/>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15</w:t>
            </w:r>
          </w:p>
        </w:tc>
        <w:tc>
          <w:tcPr>
            <w:tcW w:type="pct" w:w="16%"/>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1.4 GB</w:t>
            </w:r>
          </w:p>
        </w:tc>
        <w:tc>
          <w:tcPr>
            <w:tcW w:type="pct" w:w="43%"/>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realtimeboard, gmx-mail, fastviewer</w:t>
            </w:r>
          </w:p>
        </w:tc>
      </w:tr>
    </w:tbl>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tblGrid>
      <w:tr>
        <w:tc>
          <w:tcPr>
            <w:tcW w:type="pct" w:w="100%"/>
            <w:tcBorders>
              <w:top w:val="single" w:color="CCCCCC" w:sz="1"/>
              <w:left w:val="single" w:color="CCCCCC" w:sz="1"/>
              <w:bottom w:val="single" w:color="CCCCCC" w:sz="1"/>
              <w:right w:val="single" w:color="CCCCCC" w:sz="1"/>
            </w:tcBorders>
            <w:shd w:fill="FA4616" w:color="auto" w:val="clear"/>
            <w:tcMar>
              <w:top w:type="dxa" w:w="80"/>
              <w:left w:type="dxa" w:w="120"/>
              <w:bottom w:type="dxa" w:w="80"/>
              <w:right w:type="dxa" w:w="120"/>
            </w:tcMar>
          </w:tcPr>
          <w:p>
            <w:pPr>
              <w:spacing w:after="80" w:before="80"/>
            </w:pPr>
            <w:r>
              <w:rPr>
                <w:rFonts w:ascii="Arial" w:cs="Arial" w:eastAsia="Arial" w:hAnsi="Arial"/>
                <w:b/>
                <w:bCs/>
                <w:i w:val="false"/>
                <w:iCs w:val="false"/>
                <w:color w:val="FFFFFF"/>
                <w:sz w:val="18"/>
                <w:szCs w:val="18"/>
              </w:rPr>
              <w:t xml:space="preserve">⚠  SO WHAT — WHY THIS MATTERS</w:t>
            </w:r>
          </w:p>
        </w:tc>
      </w:tr>
      <w:tr>
        <w:tc>
          <w:tcPr>
            <w:tcW w:type="pct" w:w="100%"/>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pPr>
            <w:r>
              <w:rPr>
                <w:rFonts w:ascii="Arial" w:cs="Arial" w:eastAsia="Arial" w:hAnsi="Arial"/>
                <w:b/>
                <w:bCs/>
                <w:i w:val="false"/>
                <w:iCs w:val="false"/>
                <w:color w:val="FA4616"/>
                <w:sz w:val="20"/>
                <w:szCs w:val="20"/>
              </w:rPr>
              <w:t xml:space="preserve">› </w:t>
            </w:r>
            <w:r>
              <w:rPr>
                <w:rFonts w:ascii="Arial" w:cs="Arial" w:eastAsia="Arial" w:hAnsi="Arial"/>
                <w:b w:val="false"/>
                <w:bCs w:val="false"/>
                <w:i w:val="false"/>
                <w:iCs w:val="false"/>
                <w:color w:val="333333"/>
                <w:sz w:val="20"/>
                <w:szCs w:val="20"/>
              </w:rPr>
              <w:t xml:space="preserve">35.49 TB flowing through 114 SaaS apps with zero security certifications means IDEX Corporation has no contractual assurance, no audit rights, and no recourse if a breach occurs.</w:t>
            </w:r>
          </w:p>
        </w:tc>
      </w:tr>
      <w:tr>
        <w:tc>
          <w:tcPr>
            <w:tcW w:type="pct" w:w="1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pPr>
            <w:r>
              <w:rPr>
                <w:rFonts w:ascii="Arial" w:cs="Arial" w:eastAsia="Arial" w:hAnsi="Arial"/>
                <w:b/>
                <w:bCs/>
                <w:i w:val="false"/>
                <w:iCs w:val="false"/>
                <w:color w:val="FA4616"/>
                <w:sz w:val="20"/>
                <w:szCs w:val="20"/>
              </w:rPr>
              <w:t xml:space="preserve">› </w:t>
            </w:r>
            <w:r>
              <w:rPr>
                <w:rFonts w:ascii="Arial" w:cs="Arial" w:eastAsia="Arial" w:hAnsi="Arial"/>
                <w:b w:val="false"/>
                <w:bCs w:val="false"/>
                <w:i w:val="false"/>
                <w:iCs w:val="false"/>
                <w:color w:val="333333"/>
                <w:sz w:val="20"/>
                <w:szCs w:val="20"/>
              </w:rPr>
              <w:t xml:space="preserve">microsoft-dynamics-crm has a known data breach history and moved 59.21 GB this period. If CRM data includes customer PII or financial terms, those are GDPR/CCPA exposure items.</w:t>
            </w:r>
          </w:p>
        </w:tc>
      </w:tr>
      <w:tr>
        <w:tc>
          <w:tcPr>
            <w:tcW w:type="pct" w:w="100%"/>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pPr>
            <w:r>
              <w:rPr>
                <w:rFonts w:ascii="Arial" w:cs="Arial" w:eastAsia="Arial" w:hAnsi="Arial"/>
                <w:b/>
                <w:bCs/>
                <w:i w:val="false"/>
                <w:iCs w:val="false"/>
                <w:color w:val="FA4616"/>
                <w:sz w:val="20"/>
                <w:szCs w:val="20"/>
              </w:rPr>
              <w:t xml:space="preserve">› </w:t>
            </w:r>
            <w:r>
              <w:rPr>
                <w:rFonts w:ascii="Arial" w:cs="Arial" w:eastAsia="Arial" w:hAnsi="Arial"/>
                <w:b w:val="false"/>
                <w:bCs w:val="false"/>
                <w:i w:val="false"/>
                <w:iCs w:val="false"/>
                <w:color w:val="333333"/>
                <w:sz w:val="20"/>
                <w:szCs w:val="20"/>
              </w:rPr>
              <w:t xml:space="preserve">BitTorrent at 15.86 GB on a corporate network is an acceptable use policy violation and a malware delivery vector.</w:t>
            </w:r>
          </w:p>
        </w:tc>
      </w:tr>
      <w:tr>
        <w:tc>
          <w:tcPr>
            <w:tcW w:type="pct" w:w="1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pPr>
            <w:r>
              <w:rPr>
                <w:rFonts w:ascii="Arial" w:cs="Arial" w:eastAsia="Arial" w:hAnsi="Arial"/>
                <w:b/>
                <w:bCs/>
                <w:i w:val="false"/>
                <w:iCs w:val="false"/>
                <w:color w:val="FA4616"/>
                <w:sz w:val="20"/>
                <w:szCs w:val="20"/>
              </w:rPr>
              <w:t xml:space="preserve">› </w:t>
            </w:r>
            <w:r>
              <w:rPr>
                <w:rFonts w:ascii="Arial" w:cs="Arial" w:eastAsia="Arial" w:hAnsi="Arial"/>
                <w:b w:val="false"/>
                <w:bCs w:val="false"/>
                <w:i w:val="false"/>
                <w:iCs w:val="false"/>
                <w:color w:val="333333"/>
                <w:sz w:val="20"/>
                <w:szCs w:val="20"/>
              </w:rPr>
              <w:t xml:space="preserve">Risk-4 traffic at 53% of all bandwidth means more than half of network capacity is carrying high-risk traffic. Industry best practice is to have Risk-4/5 below 10%.</w:t>
            </w:r>
          </w:p>
        </w:tc>
      </w:tr>
    </w:tbl>
    <w:p>
      <w:r>
        <w:br w:type="page"/>
      </w:r>
    </w:p>
    <w:p>
      <w:pPr>
        <w:pBdr>
          <w:bottom w:val="single" w:color="FA4616" w:sz="6"/>
        </w:pBdr>
        <w:spacing w:after="120" w:before="280"/>
      </w:pPr>
      <w:r>
        <w:rPr>
          <w:rFonts w:ascii="Arial" w:cs="Arial" w:eastAsia="Arial" w:hAnsi="Arial"/>
          <w:b/>
          <w:bCs/>
          <w:i w:val="false"/>
          <w:iCs w:val="false"/>
          <w:color w:val="FA4616"/>
          <w:sz w:val="26"/>
          <w:szCs w:val="26"/>
        </w:rPr>
        <w:t xml:space="preserve">6. Panorama System Profile &amp; Security Posture</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tblGrid>
      <w:tr>
        <w:trPr>
          <w:tblHeader/>
        </w:trPr>
        <w:tc>
          <w:tcPr>
            <w:tcW w:type="pct" w:w="28%"/>
            <w:tcBorders>
              <w:top w:val="single" w:color="CCCCCC" w:sz="1"/>
              <w:left w:val="single" w:color="CCCCCC" w:sz="1"/>
              <w:bottom w:val="single" w:color="CCCCCC" w:sz="1"/>
              <w:right w:val="single" w:color="CCCCCC" w:sz="1"/>
            </w:tcBorders>
            <w:shd w:fill="FA4616"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Parameter</w:t>
            </w:r>
          </w:p>
        </w:tc>
        <w:tc>
          <w:tcPr>
            <w:tcW w:type="pct" w:w="72%"/>
            <w:tcBorders>
              <w:top w:val="single" w:color="CCCCCC" w:sz="1"/>
              <w:left w:val="single" w:color="CCCCCC" w:sz="1"/>
              <w:bottom w:val="single" w:color="CCCCCC" w:sz="1"/>
              <w:right w:val="single" w:color="CCCCCC" w:sz="1"/>
            </w:tcBorders>
            <w:shd w:fill="FA4616"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Value</w:t>
            </w:r>
          </w:p>
        </w:tc>
      </w:tr>
      <w:tr>
        <w:tc>
          <w:tcPr>
            <w:tcW w:type="pct" w:w="28%"/>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Hostname</w:t>
            </w:r>
          </w:p>
        </w:tc>
        <w:tc>
          <w:tcPr>
            <w:tcW w:type="pct" w:w="72%"/>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PanoramaAZ03</w:t>
            </w:r>
          </w:p>
        </w:tc>
      </w:tr>
      <w:tr>
        <w:tc>
          <w:tcPr>
            <w:tcW w:type="pct" w:w="28%"/>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Management IP</w:t>
            </w:r>
          </w:p>
        </w:tc>
        <w:tc>
          <w:tcPr>
            <w:tcW w:type="pct" w:w="72%"/>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10.249.0.10</w:t>
            </w:r>
          </w:p>
        </w:tc>
      </w:tr>
      <w:tr>
        <w:tc>
          <w:tcPr>
            <w:tcW w:type="pct" w:w="28%"/>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Platform</w:t>
            </w:r>
          </w:p>
        </w:tc>
        <w:tc>
          <w:tcPr>
            <w:tcW w:type="pct" w:w="72%"/>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Microsoft Azure VM</w:t>
            </w:r>
          </w:p>
        </w:tc>
      </w:tr>
      <w:tr>
        <w:tc>
          <w:tcPr>
            <w:tcW w:type="pct" w:w="28%"/>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Serial Number</w:t>
            </w:r>
          </w:p>
        </w:tc>
        <w:tc>
          <w:tcPr>
            <w:tcW w:type="pct" w:w="72%"/>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000702101482</w:t>
            </w:r>
          </w:p>
        </w:tc>
      </w:tr>
      <w:tr>
        <w:tc>
          <w:tcPr>
            <w:tcW w:type="pct" w:w="28%"/>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PAN-OS Version</w:t>
            </w:r>
          </w:p>
        </w:tc>
        <w:tc>
          <w:tcPr>
            <w:tcW w:type="pct" w:w="72%"/>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11.1.10-h1</w:t>
            </w:r>
          </w:p>
        </w:tc>
      </w:tr>
      <w:tr>
        <w:tc>
          <w:tcPr>
            <w:tcW w:type="pct" w:w="28%"/>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Managed Device Groups</w:t>
            </w:r>
          </w:p>
        </w:tc>
        <w:tc>
          <w:tcPr>
            <w:tcW w:type="pct" w:w="72%"/>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80+ (ABA_FW01, ABQ_FW01, HQ1-FW, HQ2_FW, IDEXAP, IDEXEU, IDEXNA, ...)</w:t>
            </w:r>
          </w:p>
        </w:tc>
      </w:tr>
    </w:tbl>
    <w:p>
      <w:pPr>
        <w:spacing w:after="120" w:before="0"/>
      </w:pPr>
      <w:r>
        <w:rPr>
          <w:rFonts w:ascii="Arial" w:cs="Arial" w:eastAsia="Arial" w:hAnsi="Arial"/>
          <w:b w:val="false"/>
          <w:bCs w:val="false"/>
          <w:i w:val="false"/>
          <w:iCs w:val="false"/>
          <w:color w:val="333333"/>
          <w:sz w:val="20"/>
          <w:szCs w:val="20"/>
        </w:rPr>
        <w:t xml:space="preserve"> </w:t>
      </w:r>
    </w:p>
    <w:p>
      <w:pPr>
        <w:spacing w:after="60" w:before="120"/>
      </w:pPr>
      <w:r>
        <w:rPr>
          <w:rFonts w:ascii="Arial" w:cs="Arial" w:eastAsia="Arial" w:hAnsi="Arial"/>
          <w:b/>
          <w:bCs/>
          <w:i w:val="false"/>
          <w:iCs w:val="false"/>
          <w:color w:val="333333"/>
          <w:sz w:val="19"/>
          <w:szCs w:val="19"/>
        </w:rPr>
        <w:t xml:space="preserve">6.1 Content Staleness — CRITICAL ACTION REQUIRED</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gridCol w:w="100"/>
      </w:tblGrid>
      <w:tr>
        <w:trPr>
          <w:tblHeader/>
        </w:trPr>
        <w:tc>
          <w:tcPr>
            <w:tcW w:type="pct" w:w="22%"/>
            <w:tcBorders>
              <w:top w:val="single" w:color="CCCCCC" w:sz="1"/>
              <w:left w:val="single" w:color="CCCCCC" w:sz="1"/>
              <w:bottom w:val="single" w:color="CCCCCC" w:sz="1"/>
              <w:right w:val="single" w:color="CCCCCC" w:sz="1"/>
            </w:tcBorders>
            <w:shd w:fill="FA4616"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Component</w:t>
            </w:r>
          </w:p>
        </w:tc>
        <w:tc>
          <w:tcPr>
            <w:tcW w:type="pct" w:w="22%"/>
            <w:tcBorders>
              <w:top w:val="single" w:color="CCCCCC" w:sz="1"/>
              <w:left w:val="single" w:color="CCCCCC" w:sz="1"/>
              <w:bottom w:val="single" w:color="CCCCCC" w:sz="1"/>
              <w:right w:val="single" w:color="CCCCCC" w:sz="1"/>
            </w:tcBorders>
            <w:shd w:fill="FA4616"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Version</w:t>
            </w:r>
          </w:p>
        </w:tc>
        <w:tc>
          <w:tcPr>
            <w:tcW w:type="pct" w:w="32%"/>
            <w:tcBorders>
              <w:top w:val="single" w:color="CCCCCC" w:sz="1"/>
              <w:left w:val="single" w:color="CCCCCC" w:sz="1"/>
              <w:bottom w:val="single" w:color="CCCCCC" w:sz="1"/>
              <w:right w:val="single" w:color="CCCCCC" w:sz="1"/>
            </w:tcBorders>
            <w:shd w:fill="FA4616"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Last Updated</w:t>
            </w:r>
          </w:p>
        </w:tc>
        <w:tc>
          <w:tcPr>
            <w:tcW w:type="pct" w:w="24%"/>
            <w:tcBorders>
              <w:top w:val="single" w:color="CCCCCC" w:sz="1"/>
              <w:left w:val="single" w:color="CCCCCC" w:sz="1"/>
              <w:bottom w:val="single" w:color="CCCCCC" w:sz="1"/>
              <w:right w:val="single" w:color="CCCCCC" w:sz="1"/>
            </w:tcBorders>
            <w:shd w:fill="FA4616"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Staleness</w:t>
            </w:r>
          </w:p>
        </w:tc>
      </w:tr>
      <w:tr>
        <w:tc>
          <w:tcPr>
            <w:tcW w:type="pct" w:w="22%"/>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Content Pack</w:t>
            </w:r>
          </w:p>
        </w:tc>
        <w:tc>
          <w:tcPr>
            <w:tcW w:type="pct" w:w="22%"/>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9022-9656</w:t>
            </w:r>
          </w:p>
        </w:tc>
        <w:tc>
          <w:tcPr>
            <w:tcW w:type="pct" w:w="32%"/>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September 15, 2025</w:t>
            </w:r>
          </w:p>
        </w:tc>
        <w:tc>
          <w:tcPr>
            <w:tcW w:type="pct" w:w="24%"/>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CC0000"/>
                <w:sz w:val="18"/>
                <w:szCs w:val="18"/>
              </w:rPr>
              <w:t xml:space="preserve">174 days stale</w:t>
            </w:r>
          </w:p>
        </w:tc>
      </w:tr>
      <w:tr>
        <w:tc>
          <w:tcPr>
            <w:tcW w:type="pct" w:w="22%"/>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Antivirus Signatures</w:t>
            </w:r>
          </w:p>
        </w:tc>
        <w:tc>
          <w:tcPr>
            <w:tcW w:type="pct" w:w="22%"/>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5311-5837</w:t>
            </w:r>
          </w:p>
        </w:tc>
        <w:tc>
          <w:tcPr>
            <w:tcW w:type="pct" w:w="32%"/>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September 15, 2025</w:t>
            </w:r>
          </w:p>
        </w:tc>
        <w:tc>
          <w:tcPr>
            <w:tcW w:type="pct" w:w="24%"/>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CC0000"/>
                <w:sz w:val="18"/>
                <w:szCs w:val="18"/>
              </w:rPr>
              <w:t xml:space="preserve">174 days stale</w:t>
            </w:r>
          </w:p>
        </w:tc>
      </w:tr>
      <w:tr>
        <w:tc>
          <w:tcPr>
            <w:tcW w:type="pct" w:w="22%"/>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WildFire</w:t>
            </w:r>
          </w:p>
        </w:tc>
        <w:tc>
          <w:tcPr>
            <w:tcW w:type="pct" w:w="22%"/>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1013792-1017973</w:t>
            </w:r>
          </w:p>
        </w:tc>
        <w:tc>
          <w:tcPr>
            <w:tcW w:type="pct" w:w="32%"/>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Recent (current)</w:t>
            </w:r>
          </w:p>
        </w:tc>
        <w:tc>
          <w:tcPr>
            <w:tcW w:type="pct" w:w="24%"/>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1E7A1E"/>
                <w:sz w:val="18"/>
                <w:szCs w:val="18"/>
              </w:rPr>
              <w:t xml:space="preserve">OK</w:t>
            </w:r>
          </w:p>
        </w:tc>
      </w:tr>
    </w:tbl>
    <w:p>
      <w:pPr>
        <w:spacing w:after="120" w:before="40"/>
        <w:jc w:val="left"/>
      </w:pPr>
      <w:r>
        <w:rPr>
          <w:rFonts w:ascii="Arial" w:cs="Arial" w:eastAsia="Arial" w:hAnsi="Arial"/>
          <w:b w:val="false"/>
          <w:bCs w:val="false"/>
          <w:i w:val="false"/>
          <w:iCs w:val="false"/>
          <w:color w:val="333333"/>
          <w:sz w:val="20"/>
          <w:szCs w:val="20"/>
        </w:rPr>
        <w:t xml:space="preserve">⚠ 174-day content gap means new malware signatures, vulnerability exploit signatures, and C2 indicators published since September 15, 2025 are NOT being detected. Immediate update via Panorama → Device → Dynamic Updates.</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tblGrid>
      <w:tr>
        <w:tc>
          <w:tcPr>
            <w:tcW w:type="pct" w:w="100%"/>
            <w:tcBorders>
              <w:top w:val="single" w:color="CCCCCC" w:sz="1"/>
              <w:left w:val="single" w:color="CCCCCC" w:sz="1"/>
              <w:bottom w:val="single" w:color="CCCCCC" w:sz="1"/>
              <w:right w:val="single" w:color="CCCCCC" w:sz="1"/>
            </w:tcBorders>
            <w:shd w:fill="FA4616" w:color="auto" w:val="clear"/>
            <w:tcMar>
              <w:top w:type="dxa" w:w="80"/>
              <w:left w:type="dxa" w:w="120"/>
              <w:bottom w:type="dxa" w:w="80"/>
              <w:right w:type="dxa" w:w="120"/>
            </w:tcMar>
          </w:tcPr>
          <w:p>
            <w:pPr>
              <w:spacing w:after="80" w:before="80"/>
            </w:pPr>
            <w:r>
              <w:rPr>
                <w:rFonts w:ascii="Arial" w:cs="Arial" w:eastAsia="Arial" w:hAnsi="Arial"/>
                <w:b/>
                <w:bCs/>
                <w:i w:val="false"/>
                <w:iCs w:val="false"/>
                <w:color w:val="FFFFFF"/>
                <w:sz w:val="18"/>
                <w:szCs w:val="18"/>
              </w:rPr>
              <w:t xml:space="preserve">⚠  SO WHAT — WHY THIS MATTERS</w:t>
            </w:r>
          </w:p>
        </w:tc>
      </w:tr>
      <w:tr>
        <w:tc>
          <w:tcPr>
            <w:tcW w:type="pct" w:w="100%"/>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pPr>
            <w:r>
              <w:rPr>
                <w:rFonts w:ascii="Arial" w:cs="Arial" w:eastAsia="Arial" w:hAnsi="Arial"/>
                <w:b/>
                <w:bCs/>
                <w:i w:val="false"/>
                <w:iCs w:val="false"/>
                <w:color w:val="FA4616"/>
                <w:sz w:val="20"/>
                <w:szCs w:val="20"/>
              </w:rPr>
              <w:t xml:space="preserve">› </w:t>
            </w:r>
            <w:r>
              <w:rPr>
                <w:rFonts w:ascii="Arial" w:cs="Arial" w:eastAsia="Arial" w:hAnsi="Arial"/>
                <w:b w:val="false"/>
                <w:bCs w:val="false"/>
                <w:i w:val="false"/>
                <w:iCs w:val="false"/>
                <w:color w:val="333333"/>
                <w:sz w:val="20"/>
                <w:szCs w:val="20"/>
              </w:rPr>
              <w:t xml:space="preserve">A security system that hasn't updated in 174 days is like a smoke detector with a dead battery. Every threat discovered after September 15, 2025 — new ransomware variants, zero-day exploits, fresh C2 infrastructure — is completely invisible.</w:t>
            </w:r>
          </w:p>
        </w:tc>
      </w:tr>
      <w:tr>
        <w:tc>
          <w:tcPr>
            <w:tcW w:type="pct" w:w="100%"/>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pPr>
            <w:r>
              <w:rPr>
                <w:rFonts w:ascii="Arial" w:cs="Arial" w:eastAsia="Arial" w:hAnsi="Arial"/>
                <w:b/>
                <w:bCs/>
                <w:i w:val="false"/>
                <w:iCs w:val="false"/>
                <w:color w:val="FA4616"/>
                <w:sz w:val="20"/>
                <w:szCs w:val="20"/>
              </w:rPr>
              <w:t xml:space="preserve">› </w:t>
            </w:r>
            <w:r>
              <w:rPr>
                <w:rFonts w:ascii="Arial" w:cs="Arial" w:eastAsia="Arial" w:hAnsi="Arial"/>
                <w:b w:val="false"/>
                <w:bCs w:val="false"/>
                <w:i w:val="false"/>
                <w:iCs w:val="false"/>
                <w:color w:val="333333"/>
                <w:sz w:val="20"/>
                <w:szCs w:val="20"/>
              </w:rPr>
              <w:t xml:space="preserve">Content pack updates are what keep the IPS engine aware of new CVEs, new malware families, and new C2 domains. The very threats identified in this report may have been detectable earlier with current signatures.</w:t>
            </w:r>
          </w:p>
        </w:tc>
      </w:tr>
      <w:tr>
        <w:tc>
          <w:tcPr>
            <w:tcW w:type="pct" w:w="100%"/>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pPr>
            <w:r>
              <w:rPr>
                <w:rFonts w:ascii="Arial" w:cs="Arial" w:eastAsia="Arial" w:hAnsi="Arial"/>
                <w:b/>
                <w:bCs/>
                <w:i w:val="false"/>
                <w:iCs w:val="false"/>
                <w:color w:val="FA4616"/>
                <w:sz w:val="20"/>
                <w:szCs w:val="20"/>
              </w:rPr>
              <w:t xml:space="preserve">› </w:t>
            </w:r>
            <w:r>
              <w:rPr>
                <w:rFonts w:ascii="Arial" w:cs="Arial" w:eastAsia="Arial" w:hAnsi="Arial"/>
                <w:b w:val="false"/>
                <w:bCs w:val="false"/>
                <w:i w:val="false"/>
                <w:iCs w:val="false"/>
                <w:color w:val="333333"/>
                <w:sz w:val="20"/>
                <w:szCs w:val="20"/>
              </w:rPr>
              <w:t xml:space="preserve">Updating signatures takes less than 30 minutes in Panorama and costs nothing. This is the single highest-ROI action in this entire report.</w:t>
            </w:r>
          </w:p>
        </w:tc>
      </w:tr>
    </w:tbl>
    <w:p>
      <w:r>
        <w:br w:type="page"/>
      </w:r>
    </w:p>
    <w:p>
      <w:pPr>
        <w:pBdr>
          <w:bottom w:val="single" w:color="FA4616" w:sz="6"/>
        </w:pBdr>
        <w:spacing w:after="120" w:before="280"/>
      </w:pPr>
      <w:r>
        <w:rPr>
          <w:rFonts w:ascii="Arial" w:cs="Arial" w:eastAsia="Arial" w:hAnsi="Arial"/>
          <w:b/>
          <w:bCs/>
          <w:i w:val="false"/>
          <w:iCs w:val="false"/>
          <w:color w:val="FA4616"/>
          <w:sz w:val="26"/>
          <w:szCs w:val="26"/>
        </w:rPr>
        <w:t xml:space="preserve">7. Industry Benchmarks (Manufacturing Peer Group)</w:t>
      </w:r>
    </w:p>
    <w:p>
      <w:pPr>
        <w:spacing w:after="120" w:before="40"/>
        <w:jc w:val="left"/>
      </w:pPr>
      <w:r>
        <w:rPr>
          <w:rFonts w:ascii="Arial" w:cs="Arial" w:eastAsia="Arial" w:hAnsi="Arial"/>
          <w:b w:val="false"/>
          <w:bCs w:val="false"/>
          <w:i/>
          <w:iCs/>
          <w:color w:val="666666"/>
          <w:sz w:val="20"/>
          <w:szCs w:val="20"/>
        </w:rPr>
        <w:t xml:space="preserve">All benchmark data sourced from the Security Lifecycle Review (SLR), February 27 – March 6, 2026. Peer group: Manufacturing industry vertical.</w:t>
      </w:r>
    </w:p>
    <w:tbl>
      <w:tblPr>
        <w:tblW w:type="pct" w:w="100%"/>
        <w:tblBorders>
          <w:top w:val="single" w:color="CCCCCC" w:sz="1"/>
          <w:left w:val="single" w:color="CCCCCC" w:sz="1"/>
          <w:bottom w:val="single" w:color="CCCCCC" w:sz="1"/>
          <w:right w:val="single" w:color="CCCCCC" w:sz="1"/>
          <w:insideH w:val="single" w:color="auto" w:sz="4"/>
          <w:insideV w:val="single" w:color="auto" w:sz="4"/>
        </w:tblBorders>
      </w:tblPr>
      <w:tblGrid>
        <w:gridCol w:w="100"/>
        <w:gridCol w:w="100"/>
        <w:gridCol w:w="100"/>
        <w:gridCol w:w="100"/>
      </w:tblGrid>
      <w:tr>
        <w:trPr>
          <w:tblHeader/>
        </w:trPr>
        <w:tc>
          <w:tcPr>
            <w:tcW w:type="pct" w:w="32%"/>
            <w:tcBorders>
              <w:top w:val="single" w:color="CCCCCC" w:sz="1"/>
              <w:left w:val="single" w:color="CCCCCC" w:sz="1"/>
              <w:bottom w:val="single" w:color="CCCCCC" w:sz="1"/>
              <w:right w:val="single" w:color="CCCCCC" w:sz="1"/>
            </w:tcBorders>
            <w:shd w:fill="FA4616"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Metric</w:t>
            </w:r>
          </w:p>
        </w:tc>
        <w:tc>
          <w:tcPr>
            <w:tcW w:type="pct" w:w="18%"/>
            <w:tcBorders>
              <w:top w:val="single" w:color="CCCCCC" w:sz="1"/>
              <w:left w:val="single" w:color="CCCCCC" w:sz="1"/>
              <w:bottom w:val="single" w:color="CCCCCC" w:sz="1"/>
              <w:right w:val="single" w:color="CCCCCC" w:sz="1"/>
            </w:tcBorders>
            <w:shd w:fill="FA4616"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IDEX Corporation</w:t>
            </w:r>
          </w:p>
        </w:tc>
        <w:tc>
          <w:tcPr>
            <w:tcW w:type="pct" w:w="18%"/>
            <w:tcBorders>
              <w:top w:val="single" w:color="CCCCCC" w:sz="1"/>
              <w:left w:val="single" w:color="CCCCCC" w:sz="1"/>
              <w:bottom w:val="single" w:color="CCCCCC" w:sz="1"/>
              <w:right w:val="single" w:color="CCCCCC" w:sz="1"/>
            </w:tcBorders>
            <w:shd w:fill="FA4616"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Industry Avg</w:t>
            </w:r>
          </w:p>
        </w:tc>
        <w:tc>
          <w:tcPr>
            <w:tcW w:type="pct" w:w="32%"/>
            <w:tcBorders>
              <w:top w:val="single" w:color="CCCCCC" w:sz="1"/>
              <w:left w:val="single" w:color="CCCCCC" w:sz="1"/>
              <w:bottom w:val="single" w:color="CCCCCC" w:sz="1"/>
              <w:right w:val="single" w:color="CCCCCC" w:sz="1"/>
            </w:tcBorders>
            <w:shd w:fill="FA4616"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FFFFFF"/>
                <w:sz w:val="18"/>
                <w:szCs w:val="18"/>
              </w:rPr>
              <w:t xml:space="preserve">Assessment</w:t>
            </w:r>
          </w:p>
        </w:tc>
      </w:tr>
      <w:tr>
        <w:tc>
          <w:tcPr>
            <w:tcW w:type="pct" w:w="32%"/>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Total Applications</w:t>
            </w:r>
          </w:p>
        </w:tc>
        <w:tc>
          <w:tcPr>
            <w:tcW w:type="pct" w:w="18%"/>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739</w:t>
            </w:r>
          </w:p>
        </w:tc>
        <w:tc>
          <w:tcPr>
            <w:tcW w:type="pct" w:w="18%"/>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273</w:t>
            </w:r>
          </w:p>
        </w:tc>
        <w:tc>
          <w:tcPr>
            <w:tcW w:type="pct" w:w="32%"/>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E07800"/>
                <w:sz w:val="18"/>
                <w:szCs w:val="18"/>
              </w:rPr>
              <w:t xml:space="preserve">171% above avg ⚠</w:t>
            </w:r>
          </w:p>
        </w:tc>
      </w:tr>
      <w:tr>
        <w:tc>
          <w:tcPr>
            <w:tcW w:type="pct" w:w="32%"/>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High-Risk Applications</w:t>
            </w:r>
          </w:p>
        </w:tc>
        <w:tc>
          <w:tcPr>
            <w:tcW w:type="pct" w:w="18%"/>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58</w:t>
            </w:r>
          </w:p>
        </w:tc>
        <w:tc>
          <w:tcPr>
            <w:tcW w:type="pct" w:w="18%"/>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22</w:t>
            </w:r>
          </w:p>
        </w:tc>
        <w:tc>
          <w:tcPr>
            <w:tcW w:type="pct" w:w="32%"/>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E07800"/>
                <w:sz w:val="18"/>
                <w:szCs w:val="18"/>
              </w:rPr>
              <w:t xml:space="preserve">2.6× above avg ⚠</w:t>
            </w:r>
          </w:p>
        </w:tc>
      </w:tr>
      <w:tr>
        <w:tc>
          <w:tcPr>
            <w:tcW w:type="pct" w:w="32%"/>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SaaS Applications</w:t>
            </w:r>
          </w:p>
        </w:tc>
        <w:tc>
          <w:tcPr>
            <w:tcW w:type="pct" w:w="18%"/>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411</w:t>
            </w:r>
          </w:p>
        </w:tc>
        <w:tc>
          <w:tcPr>
            <w:tcW w:type="pct" w:w="18%"/>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134</w:t>
            </w:r>
          </w:p>
        </w:tc>
        <w:tc>
          <w:tcPr>
            <w:tcW w:type="pct" w:w="32%"/>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3× above avg</w:t>
            </w:r>
          </w:p>
        </w:tc>
      </w:tr>
      <w:tr>
        <w:tc>
          <w:tcPr>
            <w:tcW w:type="pct" w:w="32%"/>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SaaS % of All Apps</w:t>
            </w:r>
          </w:p>
        </w:tc>
        <w:tc>
          <w:tcPr>
            <w:tcW w:type="pct" w:w="18%"/>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55.62%</w:t>
            </w:r>
          </w:p>
        </w:tc>
        <w:tc>
          <w:tcPr>
            <w:tcW w:type="pct" w:w="18%"/>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49.08%</w:t>
            </w:r>
          </w:p>
        </w:tc>
        <w:tc>
          <w:tcPr>
            <w:tcW w:type="pct" w:w="32%"/>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Slightly above avg</w:t>
            </w:r>
          </w:p>
        </w:tc>
      </w:tr>
      <w:tr>
        <w:tc>
          <w:tcPr>
            <w:tcW w:type="pct" w:w="32%"/>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Total Bandwidth</w:t>
            </w:r>
          </w:p>
        </w:tc>
        <w:tc>
          <w:tcPr>
            <w:tcW w:type="pct" w:w="18%"/>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125.17 TB</w:t>
            </w:r>
          </w:p>
        </w:tc>
        <w:tc>
          <w:tcPr>
            <w:tcW w:type="pct" w:w="18%"/>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1.19 PB</w:t>
            </w:r>
          </w:p>
        </w:tc>
        <w:tc>
          <w:tcPr>
            <w:tcW w:type="pct" w:w="32%"/>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Expected for org size</w:t>
            </w:r>
          </w:p>
        </w:tc>
      </w:tr>
      <w:tr>
        <w:tc>
          <w:tcPr>
            <w:tcW w:type="pct" w:w="32%"/>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SaaS Bandwidth</w:t>
            </w:r>
          </w:p>
        </w:tc>
        <w:tc>
          <w:tcPr>
            <w:tcW w:type="pct" w:w="18%"/>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55.43 TB (44.3%)</w:t>
            </w:r>
          </w:p>
        </w:tc>
        <w:tc>
          <w:tcPr>
            <w:tcW w:type="pct" w:w="18%"/>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0.4% of total</w:t>
            </w:r>
          </w:p>
        </w:tc>
        <w:tc>
          <w:tcPr>
            <w:tcW w:type="pct" w:w="32%"/>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CC0000"/>
                <w:sz w:val="18"/>
                <w:szCs w:val="18"/>
              </w:rPr>
              <w:t xml:space="preserve">110× above avg ⚠</w:t>
            </w:r>
          </w:p>
        </w:tc>
      </w:tr>
      <w:tr>
        <w:tc>
          <w:tcPr>
            <w:tcW w:type="pct" w:w="32%"/>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Remote Access Apps</w:t>
            </w:r>
          </w:p>
        </w:tc>
        <w:tc>
          <w:tcPr>
            <w:tcW w:type="pct" w:w="18%"/>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30 apps</w:t>
            </w:r>
          </w:p>
        </w:tc>
        <w:tc>
          <w:tcPr>
            <w:tcW w:type="pct" w:w="18%"/>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9 apps</w:t>
            </w:r>
          </w:p>
        </w:tc>
        <w:tc>
          <w:tcPr>
            <w:tcW w:type="pct" w:w="32%"/>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E07800"/>
                <w:sz w:val="18"/>
                <w:szCs w:val="18"/>
              </w:rPr>
              <w:t xml:space="preserve">3.3× above avg ⚠</w:t>
            </w:r>
          </w:p>
        </w:tc>
      </w:tr>
      <w:tr>
        <w:tc>
          <w:tcPr>
            <w:tcW w:type="pct" w:w="32%"/>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Known Malware Events</w:t>
            </w:r>
          </w:p>
        </w:tc>
        <w:tc>
          <w:tcPr>
            <w:tcW w:type="pct" w:w="18%"/>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20</w:t>
            </w:r>
          </w:p>
        </w:tc>
        <w:tc>
          <w:tcPr>
            <w:tcW w:type="pct" w:w="18%"/>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3,036</w:t>
            </w:r>
          </w:p>
        </w:tc>
        <w:tc>
          <w:tcPr>
            <w:tcW w:type="pct" w:w="32%"/>
            <w:tcBorders>
              <w:top w:val="single" w:color="CCCCCC" w:sz="1"/>
              <w:left w:val="single" w:color="CCCCCC" w:sz="1"/>
              <w:bottom w:val="single" w:color="CCCCCC" w:sz="1"/>
              <w:right w:val="single" w:color="CCCCCC" w:sz="1"/>
            </w:tcBorders>
            <w:shd w:fill="FFF3EE"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1E7A1E"/>
                <w:sz w:val="18"/>
                <w:szCs w:val="18"/>
              </w:rPr>
              <w:t xml:space="preserve">Blocking effective ✓</w:t>
            </w:r>
          </w:p>
        </w:tc>
      </w:tr>
      <w:tr>
        <w:tc>
          <w:tcPr>
            <w:tcW w:type="pct" w:w="32%"/>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C2 Connections</w:t>
            </w:r>
          </w:p>
        </w:tc>
        <w:tc>
          <w:tcPr>
            <w:tcW w:type="pct" w:w="18%"/>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79</w:t>
            </w:r>
          </w:p>
        </w:tc>
        <w:tc>
          <w:tcPr>
            <w:tcW w:type="pct" w:w="18%"/>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val="false"/>
                <w:bCs w:val="false"/>
                <w:i w:val="false"/>
                <w:iCs w:val="false"/>
                <w:color w:val="333333"/>
                <w:sz w:val="18"/>
                <w:szCs w:val="18"/>
              </w:rPr>
              <w:t xml:space="preserve">Industry varies</w:t>
            </w:r>
          </w:p>
        </w:tc>
        <w:tc>
          <w:tcPr>
            <w:tcW w:type="pct" w:w="32%"/>
            <w:tcBorders>
              <w:top w:val="single" w:color="CCCCCC" w:sz="1"/>
              <w:left w:val="single" w:color="CCCCCC" w:sz="1"/>
              <w:bottom w:val="single" w:color="CCCCCC" w:sz="1"/>
              <w:right w:val="single" w:color="CCCCCC" w:sz="1"/>
            </w:tcBorders>
            <w:shd w:fill="FFFFFF" w:color="auto" w:val="clear"/>
            <w:tcMar>
              <w:top w:type="dxa" w:w="80"/>
              <w:left w:type="dxa" w:w="120"/>
              <w:bottom w:type="dxa" w:w="80"/>
              <w:right w:type="dxa" w:w="120"/>
            </w:tcMar>
          </w:tcPr>
          <w:p>
            <w:pPr>
              <w:spacing w:after="60" w:before="60"/>
              <w:jc w:val="left"/>
            </w:pPr>
            <w:r>
              <w:rPr>
                <w:rFonts w:ascii="Arial" w:cs="Arial" w:eastAsia="Arial" w:hAnsi="Arial"/>
                <w:b/>
                <w:bCs/>
                <w:i w:val="false"/>
                <w:iCs w:val="false"/>
                <w:color w:val="CC0000"/>
                <w:sz w:val="18"/>
                <w:szCs w:val="18"/>
              </w:rPr>
              <w:t xml:space="preserve">Active threat — see §2</w:t>
            </w:r>
          </w:p>
        </w:tc>
      </w:tr>
    </w:tbl>
    <w:p>
      <w:r>
        <w:br w:type="page"/>
      </w:r>
    </w:p>
    <w:p>
      <w:pPr>
        <w:pBdr>
          <w:bottom w:val="single" w:color="FA4616" w:sz="6"/>
        </w:pBdr>
        <w:spacing w:after="120" w:before="280"/>
      </w:pPr>
      <w:r>
        <w:rPr>
          <w:rFonts w:ascii="Arial" w:cs="Arial" w:eastAsia="Arial" w:hAnsi="Arial"/>
          <w:b/>
          <w:bCs/>
          <w:i w:val="false"/>
          <w:iCs w:val="false"/>
          <w:color w:val="FA4616"/>
          <w:sz w:val="26"/>
          <w:szCs w:val="26"/>
        </w:rPr>
        <w:t xml:space="preserve">8. Prioritized Remediation Roadmap</w:t>
      </w:r>
    </w:p>
    <w:p>
      <w:pPr>
        <w:spacing w:after="120" w:before="40"/>
        <w:jc w:val="left"/>
      </w:pPr>
      <w:r>
        <w:rPr>
          <w:rFonts w:ascii="Arial" w:cs="Arial" w:eastAsia="Arial" w:hAnsi="Arial"/>
          <w:b w:val="false"/>
          <w:bCs w:val="false"/>
          <w:i w:val="false"/>
          <w:iCs w:val="false"/>
          <w:color w:val="333333"/>
          <w:sz w:val="20"/>
          <w:szCs w:val="20"/>
        </w:rPr>
        <w:t xml:space="preserve">Remediation items ordered by risk priority. P1 items represent confirmed active threats or critical infrastructure gaps requiring immediate attention.</w:t>
      </w:r>
    </w:p>
    <w:p>
      <w:pPr>
        <w:spacing w:after="60" w:before="120"/>
      </w:pPr>
      <w:r>
        <w:rPr>
          <w:rFonts w:ascii="Arial" w:cs="Arial" w:eastAsia="Arial" w:hAnsi="Arial"/>
          <w:b/>
          <w:bCs/>
          <w:i w:val="false"/>
          <w:iCs w:val="false"/>
          <w:color w:val="333333"/>
          <w:sz w:val="19"/>
          <w:szCs w:val="19"/>
        </w:rPr>
        <w:t xml:space="preserve">P1 — Immediate Actions (0–7 Days)</w:t>
      </w:r>
    </w:p>
    <w:p>
      <w:pPr>
        <w:pStyle w:val="ListParagraph"/>
        <w:numPr>
          <w:ilvl w:val="0"/>
          <w:numId w:val="1"/>
        </w:numPr>
        <w:spacing w:after="20" w:before="20"/>
      </w:pPr>
      <w:r>
        <w:rPr>
          <w:rFonts w:ascii="Arial" w:cs="Arial" w:eastAsia="Arial" w:hAnsi="Arial"/>
          <w:b w:val="false"/>
          <w:bCs w:val="false"/>
          <w:i w:val="false"/>
          <w:iCs w:val="false"/>
          <w:color w:val="333333"/>
          <w:sz w:val="20"/>
          <w:szCs w:val="20"/>
        </w:rPr>
        <w:t xml:space="preserve">Update Panorama content pack, AV, and threat signatures immediately — 174 days of exposure to undetected threats</w:t>
      </w:r>
    </w:p>
    <w:p>
      <w:pPr>
        <w:pStyle w:val="ListParagraph"/>
        <w:numPr>
          <w:ilvl w:val="0"/>
          <w:numId w:val="1"/>
        </w:numPr>
        <w:spacing w:after="20" w:before="20"/>
      </w:pPr>
      <w:r>
        <w:rPr>
          <w:rFonts w:ascii="Arial" w:cs="Arial" w:eastAsia="Arial" w:hAnsi="Arial"/>
          <w:b w:val="false"/>
          <w:bCs w:val="false"/>
          <w:i w:val="false"/>
          <w:iCs w:val="false"/>
          <w:color w:val="333333"/>
          <w:sz w:val="20"/>
          <w:szCs w:val="20"/>
        </w:rPr>
        <w:t xml:space="preserve">Isolate 10.57.11.173 and 10.57.11.174 — 24,000+ spyware hits each, 24 unique C2 domains, Internal zone</w:t>
      </w:r>
    </w:p>
    <w:p>
      <w:pPr>
        <w:pStyle w:val="ListParagraph"/>
        <w:numPr>
          <w:ilvl w:val="0"/>
          <w:numId w:val="1"/>
        </w:numPr>
        <w:spacing w:after="20" w:before="20"/>
      </w:pPr>
      <w:r>
        <w:rPr>
          <w:rFonts w:ascii="Arial" w:cs="Arial" w:eastAsia="Arial" w:hAnsi="Arial"/>
          <w:b w:val="false"/>
          <w:bCs w:val="false"/>
          <w:i w:val="false"/>
          <w:iCs w:val="false"/>
          <w:color w:val="333333"/>
          <w:sz w:val="20"/>
          <w:szCs w:val="20"/>
        </w:rPr>
        <w:t xml:space="preserve">Initiate incident investigation for idexna\bidservices — confirmed Log4j RCE (CVE-2021-44228) to external IP 35.201.101.243</w:t>
      </w:r>
    </w:p>
    <w:p>
      <w:pPr>
        <w:pStyle w:val="ListParagraph"/>
        <w:numPr>
          <w:ilvl w:val="0"/>
          <w:numId w:val="1"/>
        </w:numPr>
        <w:spacing w:after="20" w:before="20"/>
      </w:pPr>
      <w:r>
        <w:rPr>
          <w:rFonts w:ascii="Arial" w:cs="Arial" w:eastAsia="Arial" w:hAnsi="Arial"/>
          <w:b w:val="false"/>
          <w:bCs w:val="false"/>
          <w:i w:val="false"/>
          <w:iCs w:val="false"/>
          <w:color w:val="333333"/>
          <w:sz w:val="20"/>
          <w:szCs w:val="20"/>
        </w:rPr>
        <w:t xml:space="preserve">Block idexdmz.com at DNS and firewall layer — corporate brand squatting, internal hosts actively resolving this domain</w:t>
      </w:r>
    </w:p>
    <w:p>
      <w:pPr>
        <w:pStyle w:val="ListParagraph"/>
        <w:numPr>
          <w:ilvl w:val="0"/>
          <w:numId w:val="1"/>
        </w:numPr>
        <w:spacing w:after="20" w:before="20"/>
      </w:pPr>
      <w:r>
        <w:rPr>
          <w:rFonts w:ascii="Arial" w:cs="Arial" w:eastAsia="Arial" w:hAnsi="Arial"/>
          <w:b w:val="false"/>
          <w:bCs w:val="false"/>
          <w:i w:val="false"/>
          <w:iCs w:val="false"/>
          <w:color w:val="333333"/>
          <w:sz w:val="20"/>
          <w:szCs w:val="20"/>
        </w:rPr>
        <w:t xml:space="preserve">Block okta-ema.com — Okta impersonation domain, 1,163 hits from internal hosts (identity credential risk)</w:t>
      </w:r>
    </w:p>
    <w:p>
      <w:pPr>
        <w:spacing w:after="120" w:before="0"/>
      </w:pPr>
      <w:r>
        <w:rPr>
          <w:rFonts w:ascii="Arial" w:cs="Arial" w:eastAsia="Arial" w:hAnsi="Arial"/>
          <w:b w:val="false"/>
          <w:bCs w:val="false"/>
          <w:i w:val="false"/>
          <w:iCs w:val="false"/>
          <w:color w:val="333333"/>
          <w:sz w:val="20"/>
          <w:szCs w:val="20"/>
        </w:rPr>
        <w:t xml:space="preserve"> </w:t>
      </w:r>
    </w:p>
    <w:p>
      <w:pPr>
        <w:spacing w:after="60" w:before="120"/>
      </w:pPr>
      <w:r>
        <w:rPr>
          <w:rFonts w:ascii="Arial" w:cs="Arial" w:eastAsia="Arial" w:hAnsi="Arial"/>
          <w:b/>
          <w:bCs/>
          <w:i w:val="false"/>
          <w:iCs w:val="false"/>
          <w:color w:val="333333"/>
          <w:sz w:val="19"/>
          <w:szCs w:val="19"/>
        </w:rPr>
        <w:t xml:space="preserve">P2 — Short-Term Actions (7–30 Days)</w:t>
      </w:r>
    </w:p>
    <w:p>
      <w:pPr>
        <w:pStyle w:val="ListParagraph"/>
        <w:numPr>
          <w:ilvl w:val="0"/>
          <w:numId w:val="1"/>
        </w:numPr>
        <w:spacing w:after="20" w:before="20"/>
      </w:pPr>
      <w:r>
        <w:rPr>
          <w:rFonts w:ascii="Arial" w:cs="Arial" w:eastAsia="Arial" w:hAnsi="Arial"/>
          <w:b w:val="false"/>
          <w:bCs w:val="false"/>
          <w:i w:val="false"/>
          <w:iCs w:val="false"/>
          <w:color w:val="333333"/>
          <w:sz w:val="20"/>
          <w:szCs w:val="20"/>
        </w:rPr>
        <w:t xml:space="preserve">Remediate idexcorpnet\jseuntiens — SSH brute force from L5-BU_OFFICE (9 events, reset-both)</w:t>
      </w:r>
    </w:p>
    <w:p>
      <w:pPr>
        <w:pStyle w:val="ListParagraph"/>
        <w:numPr>
          <w:ilvl w:val="0"/>
          <w:numId w:val="1"/>
        </w:numPr>
        <w:spacing w:after="20" w:before="20"/>
      </w:pPr>
      <w:r>
        <w:rPr>
          <w:rFonts w:ascii="Arial" w:cs="Arial" w:eastAsia="Arial" w:hAnsi="Arial"/>
          <w:b w:val="false"/>
          <w:bCs w:val="false"/>
          <w:i w:val="false"/>
          <w:iCs w:val="false"/>
          <w:color w:val="333333"/>
          <w:sz w:val="20"/>
          <w:szCs w:val="20"/>
        </w:rPr>
        <w:t xml:space="preserve">Investigate WRM lateral movement: 10.65.131.251 → INTERNAL (24.4 MB cross-segment flow on port 5985)</w:t>
      </w:r>
    </w:p>
    <w:p>
      <w:pPr>
        <w:pStyle w:val="ListParagraph"/>
        <w:numPr>
          <w:ilvl w:val="0"/>
          <w:numId w:val="1"/>
        </w:numPr>
        <w:spacing w:after="20" w:before="20"/>
      </w:pPr>
      <w:r>
        <w:rPr>
          <w:rFonts w:ascii="Arial" w:cs="Arial" w:eastAsia="Arial" w:hAnsi="Arial"/>
          <w:b w:val="false"/>
          <w:bCs w:val="false"/>
          <w:i w:val="false"/>
          <w:iCs w:val="false"/>
          <w:color w:val="333333"/>
          <w:sz w:val="20"/>
          <w:szCs w:val="20"/>
        </w:rPr>
        <w:t xml:space="preserve">Audit and restrict VNC (570 GB, Risk-5, 192 sessions) — determine if managed or shadow deployment</w:t>
      </w:r>
    </w:p>
    <w:p>
      <w:pPr>
        <w:pStyle w:val="ListParagraph"/>
        <w:numPr>
          <w:ilvl w:val="0"/>
          <w:numId w:val="1"/>
        </w:numPr>
        <w:spacing w:after="20" w:before="20"/>
      </w:pPr>
      <w:r>
        <w:rPr>
          <w:rFonts w:ascii="Arial" w:cs="Arial" w:eastAsia="Arial" w:hAnsi="Arial"/>
          <w:b w:val="false"/>
          <w:bCs w:val="false"/>
          <w:i w:val="false"/>
          <w:iCs w:val="false"/>
          <w:color w:val="333333"/>
          <w:sz w:val="20"/>
          <w:szCs w:val="20"/>
        </w:rPr>
        <w:t xml:space="preserve">Restrict BitTorrent, FTP, open-vpn, and zerotier per acceptable use policy</w:t>
      </w:r>
    </w:p>
    <w:p>
      <w:pPr>
        <w:pStyle w:val="ListParagraph"/>
        <w:numPr>
          <w:ilvl w:val="0"/>
          <w:numId w:val="1"/>
        </w:numPr>
        <w:spacing w:after="20" w:before="20"/>
      </w:pPr>
      <w:r>
        <w:rPr>
          <w:rFonts w:ascii="Arial" w:cs="Arial" w:eastAsia="Arial" w:hAnsi="Arial"/>
          <w:b w:val="false"/>
          <w:bCs w:val="false"/>
          <w:i w:val="false"/>
          <w:iCs w:val="false"/>
          <w:color w:val="333333"/>
          <w:sz w:val="20"/>
          <w:szCs w:val="20"/>
        </w:rPr>
        <w:t xml:space="preserve">Conduct SaaS app review for 114 uncertified SaaS apps accounting for 35.49 TB of bandwidth</w:t>
      </w:r>
    </w:p>
    <w:p>
      <w:pPr>
        <w:pStyle w:val="ListParagraph"/>
        <w:numPr>
          <w:ilvl w:val="0"/>
          <w:numId w:val="1"/>
        </w:numPr>
        <w:spacing w:after="20" w:before="20"/>
      </w:pPr>
      <w:r>
        <w:rPr>
          <w:rFonts w:ascii="Arial" w:cs="Arial" w:eastAsia="Arial" w:hAnsi="Arial"/>
          <w:b w:val="false"/>
          <w:bCs w:val="false"/>
          <w:i w:val="false"/>
          <w:iCs w:val="false"/>
          <w:color w:val="333333"/>
          <w:sz w:val="20"/>
          <w:szCs w:val="20"/>
        </w:rPr>
        <w:t xml:space="preserve">Review and remediate 51 SaaS apps with poor Terms of Service (42.19 GB)</w:t>
      </w:r>
    </w:p>
    <w:p>
      <w:pPr>
        <w:pStyle w:val="ListParagraph"/>
        <w:numPr>
          <w:ilvl w:val="0"/>
          <w:numId w:val="1"/>
        </w:numPr>
        <w:spacing w:after="20" w:before="20"/>
      </w:pPr>
      <w:r>
        <w:rPr>
          <w:rFonts w:ascii="Arial" w:cs="Arial" w:eastAsia="Arial" w:hAnsi="Arial"/>
          <w:b w:val="false"/>
          <w:bCs w:val="false"/>
          <w:i w:val="false"/>
          <w:iCs w:val="false"/>
          <w:color w:val="333333"/>
          <w:sz w:val="20"/>
          <w:szCs w:val="20"/>
        </w:rPr>
        <w:t xml:space="preserve">Validate all 30 remote access tools against approved application catalog — disable unauthorized tools</w:t>
      </w:r>
    </w:p>
    <w:p>
      <w:pPr>
        <w:spacing w:after="120" w:before="0"/>
      </w:pPr>
      <w:r>
        <w:rPr>
          <w:rFonts w:ascii="Arial" w:cs="Arial" w:eastAsia="Arial" w:hAnsi="Arial"/>
          <w:b w:val="false"/>
          <w:bCs w:val="false"/>
          <w:i w:val="false"/>
          <w:iCs w:val="false"/>
          <w:color w:val="333333"/>
          <w:sz w:val="20"/>
          <w:szCs w:val="20"/>
        </w:rPr>
        <w:t xml:space="preserve"> </w:t>
      </w:r>
    </w:p>
    <w:p>
      <w:pPr>
        <w:spacing w:after="60" w:before="120"/>
      </w:pPr>
      <w:r>
        <w:rPr>
          <w:rFonts w:ascii="Arial" w:cs="Arial" w:eastAsia="Arial" w:hAnsi="Arial"/>
          <w:b/>
          <w:bCs/>
          <w:i w:val="false"/>
          <w:iCs w:val="false"/>
          <w:color w:val="333333"/>
          <w:sz w:val="19"/>
          <w:szCs w:val="19"/>
        </w:rPr>
        <w:t xml:space="preserve">P3 — Strategic Investments (30–90 Days)</w:t>
      </w:r>
    </w:p>
    <w:p>
      <w:pPr>
        <w:pStyle w:val="ListParagraph"/>
        <w:numPr>
          <w:ilvl w:val="0"/>
          <w:numId w:val="1"/>
        </w:numPr>
        <w:spacing w:after="20" w:before="20"/>
      </w:pPr>
      <w:r>
        <w:rPr>
          <w:rFonts w:ascii="Arial" w:cs="Arial" w:eastAsia="Arial" w:hAnsi="Arial"/>
          <w:b w:val="false"/>
          <w:bCs w:val="false"/>
          <w:i w:val="false"/>
          <w:iCs w:val="false"/>
          <w:color w:val="333333"/>
          <w:sz w:val="20"/>
          <w:szCs w:val="20"/>
        </w:rPr>
        <w:t xml:space="preserve">Deploy Advanced DNS Security to block C2 beaconing in real-time (BPFDoor, NJRat, Gh0st signatures active)</w:t>
      </w:r>
    </w:p>
    <w:p>
      <w:pPr>
        <w:pStyle w:val="ListParagraph"/>
        <w:numPr>
          <w:ilvl w:val="0"/>
          <w:numId w:val="1"/>
        </w:numPr>
        <w:spacing w:after="20" w:before="20"/>
      </w:pPr>
      <w:r>
        <w:rPr>
          <w:rFonts w:ascii="Arial" w:cs="Arial" w:eastAsia="Arial" w:hAnsi="Arial"/>
          <w:b w:val="false"/>
          <w:bCs w:val="false"/>
          <w:i w:val="false"/>
          <w:iCs w:val="false"/>
          <w:color w:val="333333"/>
          <w:sz w:val="20"/>
          <w:szCs w:val="20"/>
        </w:rPr>
        <w:t xml:space="preserve">Implement Next-Generation CASB for SaaS application visibility, data classification, and DLP enforcement</w:t>
      </w:r>
    </w:p>
    <w:p>
      <w:pPr>
        <w:pStyle w:val="ListParagraph"/>
        <w:numPr>
          <w:ilvl w:val="0"/>
          <w:numId w:val="1"/>
        </w:numPr>
        <w:spacing w:after="20" w:before="20"/>
      </w:pPr>
      <w:r>
        <w:rPr>
          <w:rFonts w:ascii="Arial" w:cs="Arial" w:eastAsia="Arial" w:hAnsi="Arial"/>
          <w:b w:val="false"/>
          <w:bCs w:val="false"/>
          <w:i w:val="false"/>
          <w:iCs w:val="false"/>
          <w:color w:val="333333"/>
          <w:sz w:val="20"/>
          <w:szCs w:val="20"/>
        </w:rPr>
        <w:t xml:space="preserve">Enforce network micro-segmentation to prevent WRM/SMB cross-segment lateral movement (L4-BU_ENT ↔ INTERNAL)</w:t>
      </w:r>
    </w:p>
    <w:p>
      <w:pPr>
        <w:pStyle w:val="ListParagraph"/>
        <w:numPr>
          <w:ilvl w:val="0"/>
          <w:numId w:val="1"/>
        </w:numPr>
        <w:spacing w:after="20" w:before="20"/>
      </w:pPr>
      <w:r>
        <w:rPr>
          <w:rFonts w:ascii="Arial" w:cs="Arial" w:eastAsia="Arial" w:hAnsi="Arial"/>
          <w:b w:val="false"/>
          <w:bCs w:val="false"/>
          <w:i w:val="false"/>
          <w:iCs w:val="false"/>
          <w:color w:val="333333"/>
          <w:sz w:val="20"/>
          <w:szCs w:val="20"/>
        </w:rPr>
        <w:t xml:space="preserve">Enable Cortex XDR on endpoints to correlate network telemetry with host-level activity for named users</w:t>
      </w:r>
    </w:p>
    <w:p>
      <w:pPr>
        <w:pStyle w:val="ListParagraph"/>
        <w:numPr>
          <w:ilvl w:val="0"/>
          <w:numId w:val="1"/>
        </w:numPr>
        <w:spacing w:after="20" w:before="20"/>
      </w:pPr>
      <w:r>
        <w:rPr>
          <w:rFonts w:ascii="Arial" w:cs="Arial" w:eastAsia="Arial" w:hAnsi="Arial"/>
          <w:b w:val="false"/>
          <w:bCs w:val="false"/>
          <w:i w:val="false"/>
          <w:iCs w:val="false"/>
          <w:color w:val="333333"/>
          <w:sz w:val="20"/>
          <w:szCs w:val="20"/>
        </w:rPr>
        <w:t xml:space="preserve">Deploy SSL/TLS inspection to gain visibility into 33.6 TB of currently opaque SSL traffic</w:t>
      </w:r>
    </w:p>
    <w:p>
      <w:pPr>
        <w:spacing w:after="120" w:before="0"/>
      </w:pPr>
      <w:r>
        <w:rPr>
          <w:rFonts w:ascii="Arial" w:cs="Arial" w:eastAsia="Arial" w:hAnsi="Arial"/>
          <w:b w:val="false"/>
          <w:bCs w:val="false"/>
          <w:i w:val="false"/>
          <w:iCs w:val="false"/>
          <w:color w:val="333333"/>
          <w:sz w:val="20"/>
          <w:szCs w:val="20"/>
        </w:rPr>
        <w:t xml:space="preserve"> </w:t>
      </w:r>
    </w:p>
    <w:p>
      <w:pPr>
        <w:spacing w:after="80" w:before="40"/>
        <w:jc w:val="left"/>
      </w:pPr>
      <w:r>
        <w:rPr>
          <w:rFonts w:ascii="Arial" w:cs="Arial" w:eastAsia="Arial" w:hAnsi="Arial"/>
          <w:b w:val="false"/>
          <w:bCs w:val="false"/>
          <w:i w:val="false"/>
          <w:iCs w:val="false"/>
          <w:color w:val="333333"/>
          <w:sz w:val="20"/>
          <w:szCs w:val="20"/>
        </w:rPr>
        <w:t xml:space="preserve">Prepared by: </w:t>
      </w:r>
      <w:r>
        <w:rPr>
          <w:rFonts w:ascii="Arial" w:cs="Arial" w:eastAsia="Arial" w:hAnsi="Arial"/>
          <w:b/>
          <w:bCs/>
          <w:i w:val="false"/>
          <w:iCs w:val="false"/>
          <w:color w:val="333333"/>
          <w:sz w:val="20"/>
          <w:szCs w:val="20"/>
        </w:rPr>
        <w:t xml:space="preserve">John Shelest | Palo Alto Networks | </w:t>
      </w:r>
      <w:r>
        <w:rPr>
          <w:rFonts w:ascii="Arial" w:cs="Arial" w:eastAsia="Arial" w:hAnsi="Arial"/>
          <w:b w:val="false"/>
          <w:bCs w:val="false"/>
          <w:i w:val="false"/>
          <w:iCs w:val="false"/>
          <w:color w:val="1F5F9E"/>
          <w:sz w:val="20"/>
          <w:szCs w:val="20"/>
        </w:rPr>
        <w:t xml:space="preserve">jshelest@paloaltonetworks.com</w:t>
      </w:r>
    </w:p>
    <w:p>
      <w:pPr>
        <w:spacing w:after="120" w:before="40"/>
        <w:jc w:val="left"/>
      </w:pPr>
      <w:r>
        <w:rPr>
          <w:rFonts w:ascii="Arial" w:cs="Arial" w:eastAsia="Arial" w:hAnsi="Arial"/>
          <w:b w:val="false"/>
          <w:bCs w:val="false"/>
          <w:i w:val="false"/>
          <w:iCs w:val="false"/>
          <w:color w:val="666666"/>
          <w:sz w:val="18"/>
          <w:szCs w:val="18"/>
        </w:rPr>
        <w:t xml:space="preserve">© 2026 Palo Alto Networks, Inc. All rights reserved. Proprietary and confidential information.</w:t>
      </w:r>
    </w:p>
    <w:p>
      <w:r>
        <w:br w:type="page"/>
      </w:r>
    </w:p>
    <w:p>
      <w:pPr>
        <w:pBdr>
          <w:bottom w:val="single" w:color="FA4616" w:sz="6"/>
        </w:pBdr>
        <w:spacing w:after="120" w:before="280"/>
      </w:pPr>
      <w:r>
        <w:rPr>
          <w:rFonts w:ascii="Arial" w:cs="Arial" w:eastAsia="Arial" w:hAnsi="Arial"/>
          <w:b/>
          <w:bCs/>
          <w:i w:val="false"/>
          <w:iCs w:val="false"/>
          <w:color w:val="FA4616"/>
          <w:sz w:val="26"/>
          <w:szCs w:val="26"/>
        </w:rPr>
        <w:t xml:space="preserve">Appendix: Identifying Infected Clients Behind DNS Servers</w:t>
      </w:r>
    </w:p>
    <w:p>
      <w:pPr>
        <w:spacing w:after="120" w:before="40"/>
        <w:jc w:val="left"/>
      </w:pPr>
      <w:r>
        <w:rPr>
          <w:rFonts w:ascii="Arial" w:cs="Arial" w:eastAsia="Arial" w:hAnsi="Arial"/>
          <w:b w:val="false"/>
          <w:bCs w:val="false"/>
          <w:i w:val="false"/>
          <w:iCs w:val="false"/>
          <w:color w:val="333333"/>
          <w:sz w:val="20"/>
          <w:szCs w:val="20"/>
        </w:rPr>
        <w:t xml:space="preserve">Because 10.57.11.173 and 10.57.11.174 are internal DNS resolvers, the firewall cannot show you the real infected endpoints. Run the following commands directly on those DNS servers to reveal the true infected host list.</w:t>
      </w:r>
    </w:p>
    <w:p>
      <w:pPr>
        <w:spacing w:after="120" w:before="0"/>
      </w:pPr>
      <w:r>
        <w:rPr>
          <w:rFonts w:ascii="Arial" w:cs="Arial" w:eastAsia="Arial" w:hAnsi="Arial"/>
          <w:b w:val="false"/>
          <w:bCs w:val="false"/>
          <w:i w:val="false"/>
          <w:iCs w:val="false"/>
          <w:color w:val="333333"/>
          <w:sz w:val="20"/>
          <w:szCs w:val="20"/>
        </w:rPr>
        <w:t xml:space="preserve"> </w:t>
      </w:r>
    </w:p>
    <w:p>
      <w:pPr>
        <w:spacing w:after="60" w:before="120"/>
      </w:pPr>
      <w:r>
        <w:rPr>
          <w:rFonts w:ascii="Arial" w:cs="Arial" w:eastAsia="Arial" w:hAnsi="Arial"/>
          <w:b/>
          <w:bCs/>
          <w:i w:val="false"/>
          <w:iCs w:val="false"/>
          <w:color w:val="333333"/>
          <w:sz w:val="19"/>
          <w:szCs w:val="19"/>
        </w:rPr>
        <w:t xml:space="preserve">Step 1 — Enable Windows DNS Debug Logging</w:t>
      </w:r>
    </w:p>
    <w:p>
      <w:pPr>
        <w:spacing w:after="120" w:before="40"/>
        <w:jc w:val="left"/>
      </w:pPr>
      <w:r>
        <w:rPr>
          <w:rFonts w:ascii="Arial" w:cs="Arial" w:eastAsia="Arial" w:hAnsi="Arial"/>
          <w:b w:val="false"/>
          <w:bCs w:val="false"/>
          <w:i w:val="false"/>
          <w:iCs w:val="false"/>
          <w:color w:val="333333"/>
          <w:sz w:val="20"/>
          <w:szCs w:val="20"/>
        </w:rPr>
        <w:t xml:space="preserve">Run on each DNS server (10.57.11.173 and 10.57.11.174):</w:t>
      </w:r>
    </w:p>
    <w:tbl>
      <w:tblPr>
        <w:tblW w:type="pct" w:w="100%"/>
        <w:tblBorders>
          <w:top w:val="none" w:color="auto" w:sz="0"/>
          <w:left w:val="none" w:color="auto" w:sz="0"/>
          <w:bottom w:val="none" w:color="auto" w:sz="0"/>
          <w:right w:val="none" w:color="auto" w:sz="0"/>
          <w:insideH w:val="single" w:color="auto" w:sz="4"/>
          <w:insideV w:val="single" w:color="auto" w:sz="4"/>
        </w:tblBorders>
      </w:tblPr>
      <w:tblGrid>
        <w:gridCol w:w="100"/>
      </w:tblGrid>
      <w:tr>
        <w:tc>
          <w:tcPr>
            <w:tcW w:type="pct" w:w="100%"/>
            <w:tcBorders>
              <w:top w:val="none" w:color="auto" w:sz="0"/>
              <w:left w:val="none" w:color="auto" w:sz="0"/>
              <w:bottom w:val="none" w:color="auto" w:sz="0"/>
              <w:right w:val="none" w:color="auto" w:sz="0"/>
            </w:tcBorders>
            <w:shd w:fill="1E1E1E" w:color="auto" w:val="clear"/>
            <w:tcMar>
              <w:top w:type="dxa" w:w="40"/>
              <w:left w:type="dxa" w:w="160"/>
              <w:bottom w:type="dxa" w:w="40"/>
              <w:right w:type="dxa" w:w="120"/>
            </w:tcMar>
          </w:tcPr>
          <w:p>
            <w:pPr>
              <w:spacing w:after="40" w:before="40"/>
            </w:pPr>
            <w:r>
              <w:rPr>
                <w:rFonts w:ascii="Courier New" w:cs="Courier New" w:eastAsia="Courier New" w:hAnsi="Courier New"/>
                <w:color w:val="00FF88"/>
                <w:sz w:val="16"/>
                <w:szCs w:val="16"/>
              </w:rPr>
              <w:t xml:space="preserve"># Check if debug logging is enabled</w:t>
            </w:r>
          </w:p>
        </w:tc>
      </w:tr>
      <w:tr>
        <w:tc>
          <w:tcPr>
            <w:tcW w:type="pct" w:w="100%"/>
            <w:tcBorders>
              <w:top w:val="none" w:color="auto" w:sz="0"/>
              <w:left w:val="none" w:color="auto" w:sz="0"/>
              <w:bottom w:val="none" w:color="auto" w:sz="0"/>
              <w:right w:val="none" w:color="auto" w:sz="0"/>
            </w:tcBorders>
            <w:shd w:fill="1E1E1E" w:color="auto" w:val="clear"/>
            <w:tcMar>
              <w:top w:type="dxa" w:w="40"/>
              <w:left w:type="dxa" w:w="160"/>
              <w:bottom w:type="dxa" w:w="40"/>
              <w:right w:type="dxa" w:w="120"/>
            </w:tcMar>
          </w:tcPr>
          <w:p>
            <w:pPr>
              <w:spacing w:after="40" w:before="40"/>
            </w:pPr>
            <w:r>
              <w:rPr>
                <w:rFonts w:ascii="Courier New" w:cs="Courier New" w:eastAsia="Courier New" w:hAnsi="Courier New"/>
                <w:color w:val="00FF88"/>
                <w:sz w:val="16"/>
                <w:szCs w:val="16"/>
              </w:rPr>
              <w:t xml:space="preserve">Get-DnsServerDiagnostics | Select-Object SendPackets, ReceivePackets, Queries</w:t>
            </w:r>
          </w:p>
        </w:tc>
      </w:tr>
      <w:tr>
        <w:tc>
          <w:tcPr>
            <w:tcW w:type="pct" w:w="100%"/>
            <w:tcBorders>
              <w:top w:val="none" w:color="auto" w:sz="0"/>
              <w:left w:val="none" w:color="auto" w:sz="0"/>
              <w:bottom w:val="none" w:color="auto" w:sz="0"/>
              <w:right w:val="none" w:color="auto" w:sz="0"/>
            </w:tcBorders>
            <w:shd w:fill="1E1E1E" w:color="auto" w:val="clear"/>
            <w:tcMar>
              <w:top w:type="dxa" w:w="40"/>
              <w:left w:type="dxa" w:w="160"/>
              <w:bottom w:type="dxa" w:w="40"/>
              <w:right w:type="dxa" w:w="120"/>
            </w:tcMar>
          </w:tcPr>
          <w:p>
            <w:pPr>
              <w:spacing w:after="40" w:before="40"/>
            </w:pPr>
            <w:r>
              <w:rPr>
                <w:rFonts w:ascii="Courier New" w:cs="Courier New" w:eastAsia="Courier New" w:hAnsi="Courier New"/>
                <w:color w:val="00FF88"/>
                <w:sz w:val="16"/>
                <w:szCs w:val="16"/>
              </w:rPr>
              <w:t xml:space="preserve"> </w:t>
            </w:r>
          </w:p>
        </w:tc>
      </w:tr>
      <w:tr>
        <w:tc>
          <w:tcPr>
            <w:tcW w:type="pct" w:w="100%"/>
            <w:tcBorders>
              <w:top w:val="none" w:color="auto" w:sz="0"/>
              <w:left w:val="none" w:color="auto" w:sz="0"/>
              <w:bottom w:val="none" w:color="auto" w:sz="0"/>
              <w:right w:val="none" w:color="auto" w:sz="0"/>
            </w:tcBorders>
            <w:shd w:fill="1E1E1E" w:color="auto" w:val="clear"/>
            <w:tcMar>
              <w:top w:type="dxa" w:w="40"/>
              <w:left w:type="dxa" w:w="160"/>
              <w:bottom w:type="dxa" w:w="40"/>
              <w:right w:type="dxa" w:w="120"/>
            </w:tcMar>
          </w:tcPr>
          <w:p>
            <w:pPr>
              <w:spacing w:after="40" w:before="40"/>
            </w:pPr>
            <w:r>
              <w:rPr>
                <w:rFonts w:ascii="Courier New" w:cs="Courier New" w:eastAsia="Courier New" w:hAnsi="Courier New"/>
                <w:color w:val="00FF88"/>
                <w:sz w:val="16"/>
                <w:szCs w:val="16"/>
              </w:rPr>
              <w:t xml:space="preserve"># Enable full debug logging</w:t>
            </w:r>
          </w:p>
        </w:tc>
      </w:tr>
      <w:tr>
        <w:tc>
          <w:tcPr>
            <w:tcW w:type="pct" w:w="100%"/>
            <w:tcBorders>
              <w:top w:val="none" w:color="auto" w:sz="0"/>
              <w:left w:val="none" w:color="auto" w:sz="0"/>
              <w:bottom w:val="none" w:color="auto" w:sz="0"/>
              <w:right w:val="none" w:color="auto" w:sz="0"/>
            </w:tcBorders>
            <w:shd w:fill="1E1E1E" w:color="auto" w:val="clear"/>
            <w:tcMar>
              <w:top w:type="dxa" w:w="40"/>
              <w:left w:type="dxa" w:w="160"/>
              <w:bottom w:type="dxa" w:w="40"/>
              <w:right w:type="dxa" w:w="120"/>
            </w:tcMar>
          </w:tcPr>
          <w:p>
            <w:pPr>
              <w:spacing w:after="40" w:before="40"/>
            </w:pPr>
            <w:r>
              <w:rPr>
                <w:rFonts w:ascii="Courier New" w:cs="Courier New" w:eastAsia="Courier New" w:hAnsi="Courier New"/>
                <w:color w:val="00FF88"/>
                <w:sz w:val="16"/>
                <w:szCs w:val="16"/>
              </w:rPr>
              <w:t xml:space="preserve">Set-DnsServerDiagnostics -All $true</w:t>
            </w:r>
          </w:p>
        </w:tc>
      </w:tr>
      <w:tr>
        <w:tc>
          <w:tcPr>
            <w:tcW w:type="pct" w:w="100%"/>
            <w:tcBorders>
              <w:top w:val="none" w:color="auto" w:sz="0"/>
              <w:left w:val="none" w:color="auto" w:sz="0"/>
              <w:bottom w:val="none" w:color="auto" w:sz="0"/>
              <w:right w:val="none" w:color="auto" w:sz="0"/>
            </w:tcBorders>
            <w:shd w:fill="1E1E1E" w:color="auto" w:val="clear"/>
            <w:tcMar>
              <w:top w:type="dxa" w:w="40"/>
              <w:left w:type="dxa" w:w="160"/>
              <w:bottom w:type="dxa" w:w="40"/>
              <w:right w:type="dxa" w:w="120"/>
            </w:tcMar>
          </w:tcPr>
          <w:p>
            <w:pPr>
              <w:spacing w:after="40" w:before="40"/>
            </w:pPr>
            <w:r>
              <w:rPr>
                <w:rFonts w:ascii="Courier New" w:cs="Courier New" w:eastAsia="Courier New" w:hAnsi="Courier New"/>
                <w:color w:val="00FF88"/>
                <w:sz w:val="16"/>
                <w:szCs w:val="16"/>
              </w:rPr>
              <w:t xml:space="preserve"> </w:t>
            </w:r>
          </w:p>
        </w:tc>
      </w:tr>
      <w:tr>
        <w:tc>
          <w:tcPr>
            <w:tcW w:type="pct" w:w="100%"/>
            <w:tcBorders>
              <w:top w:val="none" w:color="auto" w:sz="0"/>
              <w:left w:val="none" w:color="auto" w:sz="0"/>
              <w:bottom w:val="none" w:color="auto" w:sz="0"/>
              <w:right w:val="none" w:color="auto" w:sz="0"/>
            </w:tcBorders>
            <w:shd w:fill="1E1E1E" w:color="auto" w:val="clear"/>
            <w:tcMar>
              <w:top w:type="dxa" w:w="40"/>
              <w:left w:type="dxa" w:w="160"/>
              <w:bottom w:type="dxa" w:w="40"/>
              <w:right w:type="dxa" w:w="120"/>
            </w:tcMar>
          </w:tcPr>
          <w:p>
            <w:pPr>
              <w:spacing w:after="40" w:before="40"/>
            </w:pPr>
            <w:r>
              <w:rPr>
                <w:rFonts w:ascii="Courier New" w:cs="Courier New" w:eastAsia="Courier New" w:hAnsi="Courier New"/>
                <w:color w:val="00FF88"/>
                <w:sz w:val="16"/>
                <w:szCs w:val="16"/>
              </w:rPr>
              <w:t xml:space="preserve"># Log file location: C:\Windows\System32\dns\dns.log</w:t>
            </w:r>
          </w:p>
        </w:tc>
      </w:tr>
    </w:tbl>
    <w:p>
      <w:pPr>
        <w:spacing w:after="60" w:before="120"/>
      </w:pPr>
      <w:r>
        <w:rPr>
          <w:rFonts w:ascii="Arial" w:cs="Arial" w:eastAsia="Arial" w:hAnsi="Arial"/>
          <w:b/>
          <w:bCs/>
          <w:i w:val="false"/>
          <w:iCs w:val="false"/>
          <w:color w:val="333333"/>
          <w:sz w:val="19"/>
          <w:szCs w:val="19"/>
        </w:rPr>
        <w:t xml:space="preserve">Step 2 — Search DNS Log for Malicious Domains</w:t>
      </w:r>
    </w:p>
    <w:p>
      <w:pPr>
        <w:spacing w:after="120" w:before="40"/>
        <w:jc w:val="left"/>
      </w:pPr>
      <w:r>
        <w:rPr>
          <w:rFonts w:ascii="Arial" w:cs="Arial" w:eastAsia="Arial" w:hAnsi="Arial"/>
          <w:b w:val="false"/>
          <w:bCs w:val="false"/>
          <w:i w:val="false"/>
          <w:iCs w:val="false"/>
          <w:color w:val="333333"/>
          <w:sz w:val="20"/>
          <w:szCs w:val="20"/>
        </w:rPr>
        <w:t xml:space="preserve">Each matching line will show the client IP that requested the resolution — that is your infected host list:</w:t>
      </w:r>
    </w:p>
    <w:tbl>
      <w:tblPr>
        <w:tblW w:type="pct" w:w="100%"/>
        <w:tblBorders>
          <w:top w:val="none" w:color="auto" w:sz="0"/>
          <w:left w:val="none" w:color="auto" w:sz="0"/>
          <w:bottom w:val="none" w:color="auto" w:sz="0"/>
          <w:right w:val="none" w:color="auto" w:sz="0"/>
          <w:insideH w:val="single" w:color="auto" w:sz="4"/>
          <w:insideV w:val="single" w:color="auto" w:sz="4"/>
        </w:tblBorders>
      </w:tblPr>
      <w:tblGrid>
        <w:gridCol w:w="100"/>
      </w:tblGrid>
      <w:tr>
        <w:tc>
          <w:tcPr>
            <w:tcW w:type="pct" w:w="100%"/>
            <w:tcBorders>
              <w:top w:val="none" w:color="auto" w:sz="0"/>
              <w:left w:val="none" w:color="auto" w:sz="0"/>
              <w:bottom w:val="none" w:color="auto" w:sz="0"/>
              <w:right w:val="none" w:color="auto" w:sz="0"/>
            </w:tcBorders>
            <w:shd w:fill="1E1E1E" w:color="auto" w:val="clear"/>
            <w:tcMar>
              <w:top w:type="dxa" w:w="40"/>
              <w:left w:type="dxa" w:w="160"/>
              <w:bottom w:type="dxa" w:w="40"/>
              <w:right w:type="dxa" w:w="120"/>
            </w:tcMar>
          </w:tcPr>
          <w:p>
            <w:pPr>
              <w:spacing w:after="40" w:before="40"/>
            </w:pPr>
            <w:r>
              <w:rPr>
                <w:rFonts w:ascii="Courier New" w:cs="Courier New" w:eastAsia="Courier New" w:hAnsi="Courier New"/>
                <w:color w:val="00FF88"/>
                <w:sz w:val="16"/>
                <w:szCs w:val="16"/>
              </w:rPr>
              <w:t xml:space="preserve">Select-String -Path 'C:\Windows\System32\dns\dns.log' `</w:t>
            </w:r>
          </w:p>
        </w:tc>
      </w:tr>
      <w:tr>
        <w:tc>
          <w:tcPr>
            <w:tcW w:type="pct" w:w="100%"/>
            <w:tcBorders>
              <w:top w:val="none" w:color="auto" w:sz="0"/>
              <w:left w:val="none" w:color="auto" w:sz="0"/>
              <w:bottom w:val="none" w:color="auto" w:sz="0"/>
              <w:right w:val="none" w:color="auto" w:sz="0"/>
            </w:tcBorders>
            <w:shd w:fill="1E1E1E" w:color="auto" w:val="clear"/>
            <w:tcMar>
              <w:top w:type="dxa" w:w="40"/>
              <w:left w:type="dxa" w:w="160"/>
              <w:bottom w:type="dxa" w:w="40"/>
              <w:right w:type="dxa" w:w="120"/>
            </w:tcMar>
          </w:tcPr>
          <w:p>
            <w:pPr>
              <w:spacing w:after="40" w:before="40"/>
            </w:pPr>
            <w:r>
              <w:rPr>
                <w:rFonts w:ascii="Courier New" w:cs="Courier New" w:eastAsia="Courier New" w:hAnsi="Courier New"/>
                <w:color w:val="00FF88"/>
                <w:sz w:val="16"/>
                <w:szCs w:val="16"/>
              </w:rPr>
              <w:t xml:space="preserve">  -Pattern 'intempio|idexdmz|okta-ema|soyoungjun|azuredeploystore|officeaddons|msedgepackageinfo'</w:t>
            </w:r>
          </w:p>
        </w:tc>
      </w:tr>
      <w:tr>
        <w:tc>
          <w:tcPr>
            <w:tcW w:type="pct" w:w="100%"/>
            <w:tcBorders>
              <w:top w:val="none" w:color="auto" w:sz="0"/>
              <w:left w:val="none" w:color="auto" w:sz="0"/>
              <w:bottom w:val="none" w:color="auto" w:sz="0"/>
              <w:right w:val="none" w:color="auto" w:sz="0"/>
            </w:tcBorders>
            <w:shd w:fill="1E1E1E" w:color="auto" w:val="clear"/>
            <w:tcMar>
              <w:top w:type="dxa" w:w="40"/>
              <w:left w:type="dxa" w:w="160"/>
              <w:bottom w:type="dxa" w:w="40"/>
              <w:right w:type="dxa" w:w="120"/>
            </w:tcMar>
          </w:tcPr>
          <w:p>
            <w:pPr>
              <w:spacing w:after="40" w:before="40"/>
            </w:pPr>
            <w:r>
              <w:rPr>
                <w:rFonts w:ascii="Courier New" w:cs="Courier New" w:eastAsia="Courier New" w:hAnsi="Courier New"/>
                <w:color w:val="00FF88"/>
                <w:sz w:val="16"/>
                <w:szCs w:val="16"/>
              </w:rPr>
              <w:t xml:space="preserve"> </w:t>
            </w:r>
          </w:p>
        </w:tc>
      </w:tr>
      <w:tr>
        <w:tc>
          <w:tcPr>
            <w:tcW w:type="pct" w:w="100%"/>
            <w:tcBorders>
              <w:top w:val="none" w:color="auto" w:sz="0"/>
              <w:left w:val="none" w:color="auto" w:sz="0"/>
              <w:bottom w:val="none" w:color="auto" w:sz="0"/>
              <w:right w:val="none" w:color="auto" w:sz="0"/>
            </w:tcBorders>
            <w:shd w:fill="1E1E1E" w:color="auto" w:val="clear"/>
            <w:tcMar>
              <w:top w:type="dxa" w:w="40"/>
              <w:left w:type="dxa" w:w="160"/>
              <w:bottom w:type="dxa" w:w="40"/>
              <w:right w:type="dxa" w:w="120"/>
            </w:tcMar>
          </w:tcPr>
          <w:p>
            <w:pPr>
              <w:spacing w:after="40" w:before="40"/>
            </w:pPr>
            <w:r>
              <w:rPr>
                <w:rFonts w:ascii="Courier New" w:cs="Courier New" w:eastAsia="Courier New" w:hAnsi="Courier New"/>
                <w:color w:val="00FF88"/>
                <w:sz w:val="16"/>
                <w:szCs w:val="16"/>
              </w:rPr>
              <w:t xml:space="preserve"># Export results with client IPs to CSV</w:t>
            </w:r>
          </w:p>
        </w:tc>
      </w:tr>
      <w:tr>
        <w:tc>
          <w:tcPr>
            <w:tcW w:type="pct" w:w="100%"/>
            <w:tcBorders>
              <w:top w:val="none" w:color="auto" w:sz="0"/>
              <w:left w:val="none" w:color="auto" w:sz="0"/>
              <w:bottom w:val="none" w:color="auto" w:sz="0"/>
              <w:right w:val="none" w:color="auto" w:sz="0"/>
            </w:tcBorders>
            <w:shd w:fill="1E1E1E" w:color="auto" w:val="clear"/>
            <w:tcMar>
              <w:top w:type="dxa" w:w="40"/>
              <w:left w:type="dxa" w:w="160"/>
              <w:bottom w:type="dxa" w:w="40"/>
              <w:right w:type="dxa" w:w="120"/>
            </w:tcMar>
          </w:tcPr>
          <w:p>
            <w:pPr>
              <w:spacing w:after="40" w:before="40"/>
            </w:pPr>
            <w:r>
              <w:rPr>
                <w:rFonts w:ascii="Courier New" w:cs="Courier New" w:eastAsia="Courier New" w:hAnsi="Courier New"/>
                <w:color w:val="00FF88"/>
                <w:sz w:val="16"/>
                <w:szCs w:val="16"/>
              </w:rPr>
              <w:t xml:space="preserve">Select-String -Path 'C:\Windows\System32\dns\dns.log' `</w:t>
            </w:r>
          </w:p>
        </w:tc>
      </w:tr>
      <w:tr>
        <w:tc>
          <w:tcPr>
            <w:tcW w:type="pct" w:w="100%"/>
            <w:tcBorders>
              <w:top w:val="none" w:color="auto" w:sz="0"/>
              <w:left w:val="none" w:color="auto" w:sz="0"/>
              <w:bottom w:val="none" w:color="auto" w:sz="0"/>
              <w:right w:val="none" w:color="auto" w:sz="0"/>
            </w:tcBorders>
            <w:shd w:fill="1E1E1E" w:color="auto" w:val="clear"/>
            <w:tcMar>
              <w:top w:type="dxa" w:w="40"/>
              <w:left w:type="dxa" w:w="160"/>
              <w:bottom w:type="dxa" w:w="40"/>
              <w:right w:type="dxa" w:w="120"/>
            </w:tcMar>
          </w:tcPr>
          <w:p>
            <w:pPr>
              <w:spacing w:after="40" w:before="40"/>
            </w:pPr>
            <w:r>
              <w:rPr>
                <w:rFonts w:ascii="Courier New" w:cs="Courier New" w:eastAsia="Courier New" w:hAnsi="Courier New"/>
                <w:color w:val="00FF88"/>
                <w:sz w:val="16"/>
                <w:szCs w:val="16"/>
              </w:rPr>
              <w:t xml:space="preserve">  -Pattern 'intempio|idexdmz|okta-ema|soyoungjun|azuredeploystore|officeaddons|msedgepackageinfo' |</w:t>
            </w:r>
          </w:p>
        </w:tc>
      </w:tr>
      <w:tr>
        <w:tc>
          <w:tcPr>
            <w:tcW w:type="pct" w:w="100%"/>
            <w:tcBorders>
              <w:top w:val="none" w:color="auto" w:sz="0"/>
              <w:left w:val="none" w:color="auto" w:sz="0"/>
              <w:bottom w:val="none" w:color="auto" w:sz="0"/>
              <w:right w:val="none" w:color="auto" w:sz="0"/>
            </w:tcBorders>
            <w:shd w:fill="1E1E1E" w:color="auto" w:val="clear"/>
            <w:tcMar>
              <w:top w:type="dxa" w:w="40"/>
              <w:left w:type="dxa" w:w="160"/>
              <w:bottom w:type="dxa" w:w="40"/>
              <w:right w:type="dxa" w:w="120"/>
            </w:tcMar>
          </w:tcPr>
          <w:p>
            <w:pPr>
              <w:spacing w:after="40" w:before="40"/>
            </w:pPr>
            <w:r>
              <w:rPr>
                <w:rFonts w:ascii="Courier New" w:cs="Courier New" w:eastAsia="Courier New" w:hAnsi="Courier New"/>
                <w:color w:val="00FF88"/>
                <w:sz w:val="16"/>
                <w:szCs w:val="16"/>
              </w:rPr>
              <w:t xml:space="preserve">  Select-Object LineNumber, Line | Export-Csv C:\dns_c2_hits.csv -NoTypeInformation</w:t>
            </w:r>
          </w:p>
        </w:tc>
      </w:tr>
    </w:tbl>
    <w:p>
      <w:pPr>
        <w:spacing w:after="60" w:before="120"/>
      </w:pPr>
      <w:r>
        <w:rPr>
          <w:rFonts w:ascii="Arial" w:cs="Arial" w:eastAsia="Arial" w:hAnsi="Arial"/>
          <w:b/>
          <w:bCs/>
          <w:i w:val="false"/>
          <w:iCs w:val="false"/>
          <w:color w:val="333333"/>
          <w:sz w:val="19"/>
          <w:szCs w:val="19"/>
        </w:rPr>
        <w:t xml:space="preserve">Step 3 — DNS Analytical Event Log</w:t>
      </w:r>
    </w:p>
    <w:tbl>
      <w:tblPr>
        <w:tblW w:type="pct" w:w="100%"/>
        <w:tblBorders>
          <w:top w:val="none" w:color="auto" w:sz="0"/>
          <w:left w:val="none" w:color="auto" w:sz="0"/>
          <w:bottom w:val="none" w:color="auto" w:sz="0"/>
          <w:right w:val="none" w:color="auto" w:sz="0"/>
          <w:insideH w:val="single" w:color="auto" w:sz="4"/>
          <w:insideV w:val="single" w:color="auto" w:sz="4"/>
        </w:tblBorders>
      </w:tblPr>
      <w:tblGrid>
        <w:gridCol w:w="100"/>
      </w:tblGrid>
      <w:tr>
        <w:tc>
          <w:tcPr>
            <w:tcW w:type="pct" w:w="100%"/>
            <w:tcBorders>
              <w:top w:val="none" w:color="auto" w:sz="0"/>
              <w:left w:val="none" w:color="auto" w:sz="0"/>
              <w:bottom w:val="none" w:color="auto" w:sz="0"/>
              <w:right w:val="none" w:color="auto" w:sz="0"/>
            </w:tcBorders>
            <w:shd w:fill="1E1E1E" w:color="auto" w:val="clear"/>
            <w:tcMar>
              <w:top w:type="dxa" w:w="40"/>
              <w:left w:type="dxa" w:w="160"/>
              <w:bottom w:type="dxa" w:w="40"/>
              <w:right w:type="dxa" w:w="120"/>
            </w:tcMar>
          </w:tcPr>
          <w:p>
            <w:pPr>
              <w:spacing w:after="40" w:before="40"/>
            </w:pPr>
            <w:r>
              <w:rPr>
                <w:rFonts w:ascii="Courier New" w:cs="Courier New" w:eastAsia="Courier New" w:hAnsi="Courier New"/>
                <w:color w:val="00FF88"/>
                <w:sz w:val="16"/>
                <w:szCs w:val="16"/>
              </w:rPr>
              <w:t xml:space="preserve">wevtutil sl 'Microsoft-Windows-DNS-Server/Analytical' /e:true</w:t>
            </w:r>
          </w:p>
        </w:tc>
      </w:tr>
      <w:tr>
        <w:tc>
          <w:tcPr>
            <w:tcW w:type="pct" w:w="100%"/>
            <w:tcBorders>
              <w:top w:val="none" w:color="auto" w:sz="0"/>
              <w:left w:val="none" w:color="auto" w:sz="0"/>
              <w:bottom w:val="none" w:color="auto" w:sz="0"/>
              <w:right w:val="none" w:color="auto" w:sz="0"/>
            </w:tcBorders>
            <w:shd w:fill="1E1E1E" w:color="auto" w:val="clear"/>
            <w:tcMar>
              <w:top w:type="dxa" w:w="40"/>
              <w:left w:type="dxa" w:w="160"/>
              <w:bottom w:type="dxa" w:w="40"/>
              <w:right w:type="dxa" w:w="120"/>
            </w:tcMar>
          </w:tcPr>
          <w:p>
            <w:pPr>
              <w:spacing w:after="40" w:before="40"/>
            </w:pPr>
            <w:r>
              <w:rPr>
                <w:rFonts w:ascii="Courier New" w:cs="Courier New" w:eastAsia="Courier New" w:hAnsi="Courier New"/>
                <w:color w:val="00FF88"/>
                <w:sz w:val="16"/>
                <w:szCs w:val="16"/>
              </w:rPr>
              <w:t xml:space="preserve"> </w:t>
            </w:r>
          </w:p>
        </w:tc>
      </w:tr>
      <w:tr>
        <w:tc>
          <w:tcPr>
            <w:tcW w:type="pct" w:w="100%"/>
            <w:tcBorders>
              <w:top w:val="none" w:color="auto" w:sz="0"/>
              <w:left w:val="none" w:color="auto" w:sz="0"/>
              <w:bottom w:val="none" w:color="auto" w:sz="0"/>
              <w:right w:val="none" w:color="auto" w:sz="0"/>
            </w:tcBorders>
            <w:shd w:fill="1E1E1E" w:color="auto" w:val="clear"/>
            <w:tcMar>
              <w:top w:type="dxa" w:w="40"/>
              <w:left w:type="dxa" w:w="160"/>
              <w:bottom w:type="dxa" w:w="40"/>
              <w:right w:type="dxa" w:w="120"/>
            </w:tcMar>
          </w:tcPr>
          <w:p>
            <w:pPr>
              <w:spacing w:after="40" w:before="40"/>
            </w:pPr>
            <w:r>
              <w:rPr>
                <w:rFonts w:ascii="Courier New" w:cs="Courier New" w:eastAsia="Courier New" w:hAnsi="Courier New"/>
                <w:color w:val="00FF88"/>
                <w:sz w:val="16"/>
                <w:szCs w:val="16"/>
              </w:rPr>
              <w:t xml:space="preserve">Get-WinEvent -LogName 'Microsoft-Windows-DNS-Server/Analytical' |</w:t>
            </w:r>
          </w:p>
        </w:tc>
      </w:tr>
      <w:tr>
        <w:tc>
          <w:tcPr>
            <w:tcW w:type="pct" w:w="100%"/>
            <w:tcBorders>
              <w:top w:val="none" w:color="auto" w:sz="0"/>
              <w:left w:val="none" w:color="auto" w:sz="0"/>
              <w:bottom w:val="none" w:color="auto" w:sz="0"/>
              <w:right w:val="none" w:color="auto" w:sz="0"/>
            </w:tcBorders>
            <w:shd w:fill="1E1E1E" w:color="auto" w:val="clear"/>
            <w:tcMar>
              <w:top w:type="dxa" w:w="40"/>
              <w:left w:type="dxa" w:w="160"/>
              <w:bottom w:type="dxa" w:w="40"/>
              <w:right w:type="dxa" w:w="120"/>
            </w:tcMar>
          </w:tcPr>
          <w:p>
            <w:pPr>
              <w:spacing w:after="40" w:before="40"/>
            </w:pPr>
            <w:r>
              <w:rPr>
                <w:rFonts w:ascii="Courier New" w:cs="Courier New" w:eastAsia="Courier New" w:hAnsi="Courier New"/>
                <w:color w:val="00FF88"/>
                <w:sz w:val="16"/>
                <w:szCs w:val="16"/>
              </w:rPr>
              <w:t xml:space="preserve">  Where-Object { $_.Message -match 'intempio|idexdmz|okta-ema|soyoungjun' } |</w:t>
            </w:r>
          </w:p>
        </w:tc>
      </w:tr>
      <w:tr>
        <w:tc>
          <w:tcPr>
            <w:tcW w:type="pct" w:w="100%"/>
            <w:tcBorders>
              <w:top w:val="none" w:color="auto" w:sz="0"/>
              <w:left w:val="none" w:color="auto" w:sz="0"/>
              <w:bottom w:val="none" w:color="auto" w:sz="0"/>
              <w:right w:val="none" w:color="auto" w:sz="0"/>
            </w:tcBorders>
            <w:shd w:fill="1E1E1E" w:color="auto" w:val="clear"/>
            <w:tcMar>
              <w:top w:type="dxa" w:w="40"/>
              <w:left w:type="dxa" w:w="160"/>
              <w:bottom w:type="dxa" w:w="40"/>
              <w:right w:type="dxa" w:w="120"/>
            </w:tcMar>
          </w:tcPr>
          <w:p>
            <w:pPr>
              <w:spacing w:after="40" w:before="40"/>
            </w:pPr>
            <w:r>
              <w:rPr>
                <w:rFonts w:ascii="Courier New" w:cs="Courier New" w:eastAsia="Courier New" w:hAnsi="Courier New"/>
                <w:color w:val="00FF88"/>
                <w:sz w:val="16"/>
                <w:szCs w:val="16"/>
              </w:rPr>
              <w:t xml:space="preserve">  Select-Object TimeCreated, Message | Export-Csv C:\dns_event_hits.csv -NoTypeInformation</w:t>
            </w:r>
          </w:p>
        </w:tc>
      </w:tr>
    </w:tbl>
    <w:p>
      <w:pPr>
        <w:spacing w:after="60" w:before="120"/>
      </w:pPr>
      <w:r>
        <w:rPr>
          <w:rFonts w:ascii="Arial" w:cs="Arial" w:eastAsia="Arial" w:hAnsi="Arial"/>
          <w:b/>
          <w:bCs/>
          <w:i w:val="false"/>
          <w:iCs w:val="false"/>
          <w:color w:val="333333"/>
          <w:sz w:val="19"/>
          <w:szCs w:val="19"/>
        </w:rPr>
        <w:t xml:space="preserve">Step 4 — Configure DNS Sinkhole in Panorama</w:t>
      </w:r>
    </w:p>
    <w:p>
      <w:pPr>
        <w:pStyle w:val="ListParagraph"/>
        <w:numPr>
          <w:ilvl w:val="0"/>
          <w:numId w:val="1"/>
        </w:numPr>
        <w:spacing w:after="20" w:before="20"/>
      </w:pPr>
      <w:r>
        <w:rPr>
          <w:rFonts w:ascii="Arial" w:cs="Arial" w:eastAsia="Arial" w:hAnsi="Arial"/>
          <w:b w:val="false"/>
          <w:bCs w:val="false"/>
          <w:i w:val="false"/>
          <w:iCs w:val="false"/>
          <w:color w:val="333333"/>
          <w:sz w:val="20"/>
          <w:szCs w:val="20"/>
        </w:rPr>
        <w:t xml:space="preserve">Panorama → Objects → Security Profiles → Anti-Spyware → DNS Policies</w:t>
      </w:r>
    </w:p>
    <w:p>
      <w:pPr>
        <w:pStyle w:val="ListParagraph"/>
        <w:numPr>
          <w:ilvl w:val="0"/>
          <w:numId w:val="1"/>
        </w:numPr>
        <w:spacing w:after="20" w:before="20"/>
      </w:pPr>
      <w:r>
        <w:rPr>
          <w:rFonts w:ascii="Arial" w:cs="Arial" w:eastAsia="Arial" w:hAnsi="Arial"/>
          <w:b w:val="false"/>
          <w:bCs w:val="false"/>
          <w:i w:val="false"/>
          <w:iCs w:val="false"/>
          <w:color w:val="333333"/>
          <w:sz w:val="20"/>
          <w:szCs w:val="20"/>
        </w:rPr>
        <w:t xml:space="preserve">Add sinkhole entry: Action = sinkhole, Sinkhole IPv4 = 72.5.65.111 (PAN default sinkhole)</w:t>
      </w:r>
    </w:p>
    <w:p>
      <w:pPr>
        <w:pStyle w:val="ListParagraph"/>
        <w:numPr>
          <w:ilvl w:val="0"/>
          <w:numId w:val="1"/>
        </w:numPr>
        <w:spacing w:after="20" w:before="20"/>
      </w:pPr>
      <w:r>
        <w:rPr>
          <w:rFonts w:ascii="Arial" w:cs="Arial" w:eastAsia="Arial" w:hAnsi="Arial"/>
          <w:b w:val="false"/>
          <w:bCs w:val="false"/>
          <w:i w:val="false"/>
          <w:iCs w:val="false"/>
          <w:color w:val="333333"/>
          <w:sz w:val="20"/>
          <w:szCs w:val="20"/>
        </w:rPr>
        <w:t xml:space="preserve">Apply to all device groups — infected clients now appear in threat logs with real source IPs</w:t>
      </w:r>
    </w:p>
    <w:p>
      <w:pPr>
        <w:pStyle w:val="ListParagraph"/>
        <w:numPr>
          <w:ilvl w:val="0"/>
          <w:numId w:val="1"/>
        </w:numPr>
        <w:spacing w:after="20" w:before="20"/>
      </w:pPr>
      <w:r>
        <w:rPr>
          <w:rFonts w:ascii="Arial" w:cs="Arial" w:eastAsia="Arial" w:hAnsi="Arial"/>
          <w:b w:val="false"/>
          <w:bCs w:val="false"/>
          <w:i w:val="false"/>
          <w:iCs w:val="false"/>
          <w:color w:val="333333"/>
          <w:sz w:val="20"/>
          <w:szCs w:val="20"/>
        </w:rPr>
        <w:t xml:space="preserve">Monitor → Logs → Threat → filter: threat_name contains 'sinkhole' to see all infected clients in real time</w:t>
      </w:r>
    </w:p>
    <w:p>
      <w:pPr>
        <w:spacing w:after="60" w:before="120"/>
      </w:pPr>
      <w:r>
        <w:rPr>
          <w:rFonts w:ascii="Arial" w:cs="Arial" w:eastAsia="Arial" w:hAnsi="Arial"/>
          <w:b/>
          <w:bCs/>
          <w:i w:val="false"/>
          <w:iCs w:val="false"/>
          <w:color w:val="333333"/>
          <w:sz w:val="19"/>
          <w:szCs w:val="19"/>
        </w:rPr>
        <w:t xml:space="preserve">Step 5 — Immediate Containment Once Client List is Known</w:t>
      </w:r>
    </w:p>
    <w:p>
      <w:pPr>
        <w:pStyle w:val="ListParagraph"/>
        <w:numPr>
          <w:ilvl w:val="0"/>
          <w:numId w:val="1"/>
        </w:numPr>
        <w:spacing w:after="20" w:before="20"/>
      </w:pPr>
      <w:r>
        <w:rPr>
          <w:rFonts w:ascii="Arial" w:cs="Arial" w:eastAsia="Arial" w:hAnsi="Arial"/>
          <w:b w:val="false"/>
          <w:bCs w:val="false"/>
          <w:i w:val="false"/>
          <w:iCs w:val="false"/>
          <w:color w:val="333333"/>
          <w:sz w:val="20"/>
          <w:szCs w:val="20"/>
        </w:rPr>
        <w:t xml:space="preserve">Add all C2 domains to internal DNS as override records pointing to 127.0.0.1 — cuts beacon loops immediately</w:t>
      </w:r>
    </w:p>
    <w:p>
      <w:pPr>
        <w:pStyle w:val="ListParagraph"/>
        <w:numPr>
          <w:ilvl w:val="0"/>
          <w:numId w:val="1"/>
        </w:numPr>
        <w:spacing w:after="20" w:before="20"/>
      </w:pPr>
      <w:r>
        <w:rPr>
          <w:rFonts w:ascii="Arial" w:cs="Arial" w:eastAsia="Arial" w:hAnsi="Arial"/>
          <w:b w:val="false"/>
          <w:bCs w:val="false"/>
          <w:i w:val="false"/>
          <w:iCs w:val="false"/>
          <w:color w:val="333333"/>
          <w:sz w:val="20"/>
          <w:szCs w:val="20"/>
        </w:rPr>
        <w:t xml:space="preserve">Isolate every client IP found in Step 2/3 from the network pending forensic investigation</w:t>
      </w:r>
    </w:p>
    <w:p>
      <w:pPr>
        <w:pStyle w:val="ListParagraph"/>
        <w:numPr>
          <w:ilvl w:val="0"/>
          <w:numId w:val="1"/>
        </w:numPr>
        <w:spacing w:after="20" w:before="20"/>
      </w:pPr>
      <w:r>
        <w:rPr>
          <w:rFonts w:ascii="Arial" w:cs="Arial" w:eastAsia="Arial" w:hAnsi="Arial"/>
          <w:b w:val="false"/>
          <w:bCs w:val="false"/>
          <w:i w:val="false"/>
          <w:iCs w:val="false"/>
          <w:color w:val="333333"/>
          <w:sz w:val="20"/>
          <w:szCs w:val="20"/>
        </w:rPr>
        <w:t xml:space="preserve">Force Okta password resets for all users on machines that resolved okta-ema.com — assume credentials compromised</w:t>
      </w:r>
    </w:p>
    <w:p>
      <w:pPr>
        <w:pStyle w:val="ListParagraph"/>
        <w:numPr>
          <w:ilvl w:val="0"/>
          <w:numId w:val="1"/>
        </w:numPr>
        <w:spacing w:after="20" w:before="20"/>
      </w:pPr>
      <w:r>
        <w:rPr>
          <w:rFonts w:ascii="Arial" w:cs="Arial" w:eastAsia="Arial" w:hAnsi="Arial"/>
          <w:b w:val="false"/>
          <w:bCs w:val="false"/>
          <w:i w:val="false"/>
          <w:iCs w:val="false"/>
          <w:color w:val="333333"/>
          <w:sz w:val="20"/>
          <w:szCs w:val="20"/>
        </w:rPr>
        <w:t xml:space="preserve">Disable idexna\bidservices account immediately — confirmed Log4j RCE on 10.100.10.201, pending endpoint forensics</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2026-03-14T12:22:41.122Z</dcterms:created>
  <dcterms:modified xsi:type="dcterms:W3CDTF">2026-03-14T12:22:41.123Z</dcterms:modified>
</cp:coreProperties>
</file>

<file path=docProps/custom.xml><?xml version="1.0" encoding="utf-8"?>
<Properties xmlns="http://schemas.openxmlformats.org/officeDocument/2006/custom-properties" xmlns:vt="http://schemas.openxmlformats.org/officeDocument/2006/docPropsVTypes"/>
</file>