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6d007bf38032b9b7355734470fcb65fb6da6b51"/>
    <w:p>
      <w:pPr>
        <w:pStyle w:val="Heading1"/>
      </w:pPr>
      <w:r>
        <w:t xml:space="preserve">NCAA Division I Athletics Finances: 10-Year Trends from 2015 to 2024 — Data Points</w:t>
      </w:r>
    </w:p>
    <w:p>
      <w:pPr>
        <w:pStyle w:val="FirstParagraph"/>
      </w:pPr>
      <w:r>
        <w:t xml:space="preserve">Source: NCAA Research,</w:t>
      </w:r>
      <w:r>
        <w:t xml:space="preserve"> </w:t>
      </w:r>
      <w:r>
        <w:rPr>
          <w:iCs/>
          <w:i/>
        </w:rPr>
        <w:t xml:space="preserve">Division I Athletics Finances: 10-Year Trends from 2015 to 2024</w:t>
      </w:r>
      <w:r>
        <w:t xml:space="preserve">, December 2025, 84 pages.</w:t>
      </w:r>
      <w:r>
        <w:t xml:space="preserve"> </w:t>
      </w:r>
      <w:hyperlink r:id="rId20">
        <w:hyperlink r:id="rId20">
          <w:r>
            <w:rPr>
              <w:rStyle w:val="Hyperlink"/>
            </w:rPr>
            <w:t xml:space="preserve">https://ncaaorg.s3.amazonaws.com/research/Finances/2025D1RES_DI-RevExpReport_Final.pdf</w:t>
          </w:r>
        </w:hyperlink>
      </w:hyperlink>
      <w:r>
        <w:t xml:space="preserve">. Page numbers below refer to the PDF. Fiscal years run July 1 to June 30, so "2024" means FY2023-24.</w:t>
      </w:r>
    </w:p>
    <w:p>
      <w:pPr>
        <w:pStyle w:val="BodyText"/>
      </w:pPr>
      <w:r>
        <w:t xml:space="preserve">Suggested citation: NCAA Research, "Division I Athletics Finances: 10-Year Trends from 2015 to 2024," December 2025, p. X.</w:t>
      </w:r>
    </w:p>
    <w:bookmarkStart w:id="21" w:name="X2ce7b47af2eba8e064ad2ae36ba0cbad878aa36"/>
    <w:p>
      <w:pPr>
        <w:pStyle w:val="Heading2"/>
      </w:pPr>
      <w:r>
        <w:t xml:space="preserve">1. Scope and definitions (pp. 2-4)</w:t>
      </w:r>
    </w:p>
    <w:p>
      <w:pPr>
        <w:numPr>
          <w:ilvl w:val="0"/>
          <w:numId w:val="1001"/>
        </w:numPr>
        <w:pStyle w:val="Compact"/>
      </w:pPr>
      <w:r>
        <w:t xml:space="preserve">Data come from the NCAA Membership Financial Reporting System for fiscal years 2014-15 through 2023-24;</w:t>
      </w:r>
      <w:r>
        <w:t xml:space="preserve"> </w:t>
      </w:r>
      <w:r>
        <w:rPr>
          <w:bCs/>
          <w:b/>
        </w:rPr>
        <w:t xml:space="preserve">352 active Division I institutions</w:t>
      </w:r>
      <w:r>
        <w:t xml:space="preserve"> </w:t>
      </w:r>
      <w:r>
        <w:t xml:space="preserve">(public and private) provided data (p. 2).</w:t>
      </w:r>
    </w:p>
    <w:p>
      <w:pPr>
        <w:numPr>
          <w:ilvl w:val="0"/>
          <w:numId w:val="1001"/>
        </w:numPr>
        <w:pStyle w:val="Compact"/>
      </w:pPr>
      <w:r>
        <w:t xml:space="preserve">Quartiles are based on each year's total expenses within each subdivision (p. 2).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Generated revenue sources</w:t>
      </w:r>
      <w:r>
        <w:t xml:space="preserve"> </w:t>
      </w:r>
      <w:r>
        <w:t xml:space="preserve">(p. 4): ticket sales; NCAA and conference distributions; contributions from alumni and others; and "Other" (guarantees and options, third-party support, concessions, broadcast rights, royalties/advertising/sponsorships, sports camps, endowment/investment income).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Allocated revenue sources</w:t>
      </w:r>
      <w:r>
        <w:t xml:space="preserve"> </w:t>
      </w:r>
      <w:r>
        <w:t xml:space="preserve">(p. 4), labeled "Allocated support": student activity fees; direct government support; direct institutional support; indirect institutional support.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Net generated revenue</w:t>
      </w:r>
      <w:r>
        <w:t xml:space="preserve"> </w:t>
      </w:r>
      <w:r>
        <w:t xml:space="preserve">(the "Net Operating Results Excluding Allocated Support" chart measure, pp. 33-34) = generated revenue minus total expenses. Allocated revenue is excluded from the revenue side only; no expenses are removed.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Self-sufficiency</w:t>
      </w:r>
      <w:r>
        <w:t xml:space="preserve"> </w:t>
      </w:r>
      <w:r>
        <w:t xml:space="preserve">= generated revenue divided by total expenses (p. 39 footnote).</w:t>
      </w:r>
    </w:p>
    <w:p>
      <w:pPr>
        <w:numPr>
          <w:ilvl w:val="0"/>
          <w:numId w:val="1001"/>
        </w:numPr>
        <w:pStyle w:val="Compact"/>
      </w:pPr>
      <w:r>
        <w:t xml:space="preserve">Subdivisions: FBS Autonomy (the 69 schools in the autonomy conferences, p. 20), FBS Nonautonomy, FCS, and "Basketball Subdivision" (Division I schools without football).</w:t>
      </w:r>
    </w:p>
    <w:bookmarkEnd w:id="21"/>
    <w:bookmarkStart w:id="22" w:name="X4e508287dce7cd0492ea60587589f49787bb787"/>
    <w:p>
      <w:pPr>
        <w:pStyle w:val="Heading2"/>
      </w:pPr>
      <w:r>
        <w:t xml:space="preserve">2. FY2024 medians and ranges by subdivision (pp. 6-7)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 (median, 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Basketball Subdivision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$82.19M</w:t>
            </w:r>
            <w:r>
              <w:t xml:space="preserve"> </w:t>
            </w:r>
            <w:r>
              <w:t xml:space="preserve">(range $9.6M to $332M)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$6.08M ($1.6M to $68.8M)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$3.95M ($0.8M to $31.6M)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$106.93M ($18.2M to $332M)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$25.15M ($5.7M to $98.9M)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$23.25M ($3.5M to $59.9M)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$109.99M</w:t>
            </w:r>
            <w:r>
              <w:t xml:space="preserve"> </w:t>
            </w:r>
            <w:r>
              <w:t xml:space="preserve">($22.7M to $325M)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$25.48M ($5.8M to $77.1M)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$22.82M ($6.1M to $59.9M)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−$25.13M</w:t>
            </w:r>
            <w:r>
              <w:t xml:space="preserve"> </w:t>
            </w:r>
            <w:r>
              <w:t xml:space="preserve">(−$90.5M to +$43.8M)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−$16.83M (−$57.3M to +$7.3M)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−$17.55M (−$55.4M to +$4.2M)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Measure (median, FY2024)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FBS Autonomy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FBS Nonautonomy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$133.8M</w:t>
            </w:r>
            <w:r>
              <w:t xml:space="preserve"> </w:t>
            </w:r>
            <w:r>
              <w:t xml:space="preserve">($49.8M to $331.9M)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$17.2M</w:t>
            </w:r>
            <w:r>
              <w:t xml:space="preserve"> </w:t>
            </w:r>
            <w:r>
              <w:t xml:space="preserve">($9.6M to $67.6M)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$149.3M ($88.2M to $331.9M)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$47.0M ($18.2M to $136.1M)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$166.8M</w:t>
            </w:r>
            <w:r>
              <w:t xml:space="preserve"> </w:t>
            </w:r>
            <w:r>
              <w:t xml:space="preserve">($89.1M to $325.0M)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$48.7M</w:t>
            </w:r>
            <w:r>
              <w:t xml:space="preserve"> </w:t>
            </w:r>
            <w:r>
              <w:t xml:space="preserve">($22.7M to $133.2M)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−$15.2M</w:t>
            </w:r>
            <w:r>
              <w:t xml:space="preserve"> </w:t>
            </w:r>
            <w:r>
              <w:t xml:space="preserve">(−$90.5M to +$43.8M)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−$27.1M</w:t>
            </w:r>
            <w:r>
              <w:t xml:space="preserve"> </w:t>
            </w:r>
            <w:r>
              <w:t xml:space="preserve">(−$71.1M to +$4.1M)</w:t>
            </w:r>
          </w:p>
        </w:tc>
      </w:tr>
    </w:tbl>
    <w:p>
      <w:pPr>
        <w:numPr>
          <w:ilvl w:val="0"/>
          <w:numId w:val="1002"/>
        </w:numPr>
        <w:pStyle w:val="Compact"/>
      </w:pPr>
      <w:r>
        <w:t xml:space="preserve">"Generated revenue exceeded expenses in 2024 at</w:t>
      </w:r>
      <w:r>
        <w:t xml:space="preserve"> </w:t>
      </w:r>
      <w:r>
        <w:rPr>
          <w:bCs/>
          <w:b/>
        </w:rPr>
        <w:t xml:space="preserve">21 FBS institutions</w:t>
      </w:r>
      <w:r>
        <w:t xml:space="preserve">" (p. 8).</w:t>
      </w:r>
    </w:p>
    <w:p>
      <w:pPr>
        <w:numPr>
          <w:ilvl w:val="0"/>
          <w:numId w:val="1002"/>
        </w:numPr>
        <w:pStyle w:val="Compact"/>
      </w:pPr>
      <w:r>
        <w:t xml:space="preserve">"Overall, operating results ranged from a loss of over $90 million to a surplus of almost $44 million" (p. 8).</w:t>
      </w:r>
    </w:p>
    <w:p>
      <w:pPr>
        <w:numPr>
          <w:ilvl w:val="0"/>
          <w:numId w:val="1002"/>
        </w:numPr>
        <w:pStyle w:val="Compact"/>
      </w:pPr>
      <w:r>
        <w:t xml:space="preserve">FCS: "Expenses exceeded generated revenue at all but one FCS institution"; median generated revenue up 4.4% vs. 2023 while median total expenses rose 9.3% (p. 9).</w:t>
      </w:r>
    </w:p>
    <w:p>
      <w:pPr>
        <w:numPr>
          <w:ilvl w:val="0"/>
          <w:numId w:val="1002"/>
        </w:numPr>
        <w:pStyle w:val="Compact"/>
      </w:pPr>
      <w:r>
        <w:t xml:space="preserve">Basketball Subdivision: median generated revenue up 9.8% vs. 2023; median total expenses up about 12.3% (p. 10).</w:t>
      </w:r>
    </w:p>
    <w:bookmarkEnd w:id="22"/>
    <w:bookmarkStart w:id="23" w:name="Xcea4eef2c2dc71bab828719935230f5edb5e2cb"/>
    <w:p>
      <w:pPr>
        <w:pStyle w:val="Heading2"/>
      </w:pPr>
      <w:r>
        <w:t xml:space="preserve">3. Where the money comes from, FY2024 (pp. 12-19)</w:t>
      </w:r>
    </w:p>
    <w:p>
      <w:pPr>
        <w:numPr>
          <w:ilvl w:val="0"/>
          <w:numId w:val="1003"/>
        </w:numPr>
        <w:pStyle w:val="Compact"/>
      </w:pPr>
      <w:r>
        <w:t xml:space="preserve">"Division I institutions reported total revenue of almost</w:t>
      </w:r>
      <w:r>
        <w:t xml:space="preserve"> </w:t>
      </w:r>
      <w:r>
        <w:rPr>
          <w:bCs/>
          <w:b/>
        </w:rPr>
        <w:t xml:space="preserve">$20.5 billion</w:t>
      </w:r>
      <w:r>
        <w:t xml:space="preserve"> </w:t>
      </w:r>
      <w:r>
        <w:t xml:space="preserve">on athletics in 2024, a</w:t>
      </w:r>
      <w:r>
        <w:t xml:space="preserve"> </w:t>
      </w:r>
      <w:r>
        <w:rPr>
          <w:bCs/>
          <w:b/>
        </w:rPr>
        <w:t xml:space="preserve">7% increase</w:t>
      </w:r>
      <w:r>
        <w:t xml:space="preserve"> </w:t>
      </w:r>
      <w:r>
        <w:t xml:space="preserve">compared with the previous year" (p. 12).</w:t>
      </w:r>
    </w:p>
    <w:p>
      <w:pPr>
        <w:numPr>
          <w:ilvl w:val="0"/>
          <w:numId w:val="1003"/>
        </w:numPr>
        <w:pStyle w:val="Compact"/>
      </w:pPr>
      <w:r>
        <w:t xml:space="preserve">"Sixty-three percent of total Division I revenue (</w:t>
      </w:r>
      <w:r>
        <w:rPr>
          <w:bCs/>
          <w:b/>
        </w:rPr>
        <w:t xml:space="preserve">$13 billion</w:t>
      </w:r>
      <w:r>
        <w:t xml:space="preserve">) was generated by the athletics departments, and 37% (</w:t>
      </w:r>
      <w:r>
        <w:rPr>
          <w:bCs/>
          <w:b/>
        </w:rPr>
        <w:t xml:space="preserve">$7.4 billion</w:t>
      </w:r>
      <w:r>
        <w:t xml:space="preserve">) was allocated revenue from institution/government support and student fees" (p. 12).</w:t>
      </w:r>
    </w:p>
    <w:p>
      <w:pPr>
        <w:numPr>
          <w:ilvl w:val="0"/>
          <w:numId w:val="1003"/>
        </w:numPr>
        <w:pStyle w:val="Compact"/>
      </w:pPr>
      <w:r>
        <w:t xml:space="preserve">"While FBS autonomy schools accounted for about</w:t>
      </w:r>
      <w:r>
        <w:t xml:space="preserve"> </w:t>
      </w:r>
      <w:r>
        <w:rPr>
          <w:bCs/>
          <w:b/>
        </w:rPr>
        <w:t xml:space="preserve">55%</w:t>
      </w:r>
      <w:r>
        <w:t xml:space="preserve"> </w:t>
      </w:r>
      <w:r>
        <w:t xml:space="preserve">of the Division I total revenue ($20.5 billion), they accounted for almost</w:t>
      </w:r>
      <w:r>
        <w:t xml:space="preserve"> </w:t>
      </w:r>
      <w:r>
        <w:rPr>
          <w:bCs/>
          <w:b/>
        </w:rPr>
        <w:t xml:space="preserve">77%</w:t>
      </w:r>
      <w:r>
        <w:t xml:space="preserve"> </w:t>
      </w:r>
      <w:r>
        <w:t xml:space="preserve">of the total generated revenue" (p. 12).</w:t>
      </w:r>
    </w:p>
    <w:p>
      <w:pPr>
        <w:numPr>
          <w:ilvl w:val="0"/>
          <w:numId w:val="1003"/>
        </w:numPr>
        <w:pStyle w:val="Compact"/>
      </w:pPr>
      <w:r>
        <w:t xml:space="preserve">Share of total D-I revenue by subdivision (p. 13): FBS Autonomy 55%; FCS 18%; FBS Nonautonomy 15%; Basketball Subdivision 12%.</w:t>
      </w:r>
    </w:p>
    <w:p>
      <w:pPr>
        <w:numPr>
          <w:ilvl w:val="0"/>
          <w:numId w:val="1003"/>
        </w:numPr>
        <w:pStyle w:val="Compact"/>
      </w:pPr>
      <w:r>
        <w:t xml:space="preserve">All-Division I revenue mix (p. 14): institution and government support</w:t>
      </w:r>
      <w:r>
        <w:t xml:space="preserve"> </w:t>
      </w:r>
      <w:r>
        <w:rPr>
          <w:bCs/>
          <w:b/>
        </w:rPr>
        <w:t xml:space="preserve">30%</w:t>
      </w:r>
      <w:r>
        <w:t xml:space="preserve">; media rights/NCAA-conference distributions/bowl revenue</w:t>
      </w:r>
      <w:r>
        <w:t xml:space="preserve"> </w:t>
      </w:r>
      <w:r>
        <w:rPr>
          <w:bCs/>
          <w:b/>
        </w:rPr>
        <w:t xml:space="preserve">20%</w:t>
      </w:r>
      <w:r>
        <w:t xml:space="preserve">; donor contributions and endowments</w:t>
      </w:r>
      <w:r>
        <w:t xml:space="preserve"> </w:t>
      </w:r>
      <w:r>
        <w:rPr>
          <w:bCs/>
          <w:b/>
        </w:rPr>
        <w:t xml:space="preserve">20%</w:t>
      </w:r>
      <w:r>
        <w:t xml:space="preserve">; ticket sales 11%; student fees 7%; royalties/licensing 6%; other revenue 5%; guarantees 1%.</w:t>
      </w:r>
    </w:p>
    <w:p>
      <w:pPr>
        <w:numPr>
          <w:ilvl w:val="0"/>
          <w:numId w:val="1003"/>
        </w:numPr>
        <w:pStyle w:val="Compact"/>
      </w:pPr>
      <w:r>
        <w:t xml:space="preserve">Generated revenue as a share of total revenue (p. 15):</w:t>
      </w:r>
      <w:r>
        <w:t xml:space="preserve"> </w:t>
      </w:r>
      <w:r>
        <w:rPr>
          <w:bCs/>
          <w:b/>
        </w:rPr>
        <w:t xml:space="preserve">89%</w:t>
      </w:r>
      <w:r>
        <w:t xml:space="preserve"> </w:t>
      </w:r>
      <w:r>
        <w:t xml:space="preserve">for FBS Autonomy, about</w:t>
      </w:r>
      <w:r>
        <w:t xml:space="preserve"> </w:t>
      </w:r>
      <w:r>
        <w:rPr>
          <w:bCs/>
          <w:b/>
        </w:rPr>
        <w:t xml:space="preserve">44%</w:t>
      </w:r>
      <w:r>
        <w:t xml:space="preserve"> </w:t>
      </w:r>
      <w:r>
        <w:t xml:space="preserve">for FBS Nonautonomy,</w:t>
      </w:r>
      <w:r>
        <w:t xml:space="preserve"> </w:t>
      </w:r>
      <w:r>
        <w:rPr>
          <w:bCs/>
          <w:b/>
        </w:rPr>
        <w:t xml:space="preserve">30%</w:t>
      </w:r>
      <w:r>
        <w:t xml:space="preserve"> </w:t>
      </w:r>
      <w:r>
        <w:t xml:space="preserve">for FCS,</w:t>
      </w:r>
      <w:r>
        <w:t xml:space="preserve"> </w:t>
      </w:r>
      <w:r>
        <w:rPr>
          <w:bCs/>
          <w:b/>
        </w:rPr>
        <w:t xml:space="preserve">24%</w:t>
      </w:r>
      <w:r>
        <w:t xml:space="preserve"> </w:t>
      </w:r>
      <w:r>
        <w:t xml:space="preserve">for Basketball Subdivision.</w:t>
      </w:r>
    </w:p>
    <w:p>
      <w:pPr>
        <w:numPr>
          <w:ilvl w:val="0"/>
          <w:numId w:val="1003"/>
        </w:numPr>
        <w:pStyle w:val="Compact"/>
      </w:pPr>
      <w:r>
        <w:t xml:space="preserve">"For FBS autonomy schools, the largest revenue categories were media rights, NCAA/conference distributions and bowl-related revenue, accounting for about 31%" (p. 15).</w:t>
      </w:r>
    </w:p>
    <w:p>
      <w:pPr>
        <w:numPr>
          <w:ilvl w:val="0"/>
          <w:numId w:val="1003"/>
        </w:numPr>
        <w:pStyle w:val="Compact"/>
      </w:pPr>
      <w:r>
        <w:t xml:space="preserve">"For the other three groups, institution and government support was the largest revenue category:</w:t>
      </w:r>
      <w:r>
        <w:t xml:space="preserve"> </w:t>
      </w:r>
      <w:r>
        <w:rPr>
          <w:bCs/>
          <w:b/>
        </w:rPr>
        <w:t xml:space="preserve">41%</w:t>
      </w:r>
      <w:r>
        <w:t xml:space="preserve"> </w:t>
      </w:r>
      <w:r>
        <w:t xml:space="preserve">for FBS nonautonomy schools,</w:t>
      </w:r>
      <w:r>
        <w:t xml:space="preserve"> </w:t>
      </w:r>
      <w:r>
        <w:rPr>
          <w:bCs/>
          <w:b/>
        </w:rPr>
        <w:t xml:space="preserve">58%</w:t>
      </w:r>
      <w:r>
        <w:t xml:space="preserve"> </w:t>
      </w:r>
      <w:r>
        <w:t xml:space="preserve">for FCS and</w:t>
      </w:r>
      <w:r>
        <w:t xml:space="preserve"> </w:t>
      </w:r>
      <w:r>
        <w:rPr>
          <w:bCs/>
          <w:b/>
        </w:rPr>
        <w:t xml:space="preserve">64%</w:t>
      </w:r>
      <w:r>
        <w:t xml:space="preserve"> </w:t>
      </w:r>
      <w:r>
        <w:t xml:space="preserve">for the Basketball Subdivision schools" (p. 15).</w:t>
      </w:r>
    </w:p>
    <w:p>
      <w:pPr>
        <w:numPr>
          <w:ilvl w:val="0"/>
          <w:numId w:val="1003"/>
        </w:numPr>
        <w:pStyle w:val="Compact"/>
      </w:pPr>
      <w:r>
        <w:t xml:space="preserve">FBS Autonomy revenue mix (p. 16): media/NCAA-conference/bowl 31%; donors and endowments 26%; ticket sales 17%; institution and government support 10%; royalties/licensing 9%; other 6%; student fees 1%; guarantees under 1%.</w:t>
      </w:r>
    </w:p>
    <w:p>
      <w:pPr>
        <w:numPr>
          <w:ilvl w:val="0"/>
          <w:numId w:val="1003"/>
        </w:numPr>
        <w:pStyle w:val="Compact"/>
      </w:pPr>
      <w:r>
        <w:t xml:space="preserve">FBS Nonautonomy revenue mix (p. 17): institution and government support 41%; student fees 15%; donors 13%; media/NCAA-conference/bowl 11%; ticket sales 7%; royalties 5%; guarantees 4%; other 4%.</w:t>
      </w:r>
    </w:p>
    <w:p>
      <w:pPr>
        <w:numPr>
          <w:ilvl w:val="0"/>
          <w:numId w:val="1003"/>
        </w:numPr>
        <w:pStyle w:val="Compact"/>
      </w:pPr>
      <w:r>
        <w:t xml:space="preserve">FCS revenue mix (p. 18): institution and government support 58%; donors 13%; student fees 12%; media/NCAA-conference/bowl 5%; ticket sales 4%; guarantees 3%; other 3%; royalties 2%.</w:t>
      </w:r>
    </w:p>
    <w:p>
      <w:pPr>
        <w:numPr>
          <w:ilvl w:val="0"/>
          <w:numId w:val="1003"/>
        </w:numPr>
        <w:pStyle w:val="Compact"/>
      </w:pPr>
      <w:r>
        <w:t xml:space="preserve">Basketball Subdivision revenue mix (p. 19): institution and government support 64%; student fees 12%; donors 9%; media/NCAA-conference/bowl 5%; ticket sales 4% (remaining slices of 1-3% are not legible in the text layer).</w:t>
      </w:r>
    </w:p>
    <w:bookmarkEnd w:id="23"/>
    <w:bookmarkStart w:id="24" w:name="Xbd7ce5a8924daf6955505863b5e7ba9eb97e38e"/>
    <w:p>
      <w:pPr>
        <w:pStyle w:val="Heading2"/>
      </w:pPr>
      <w:r>
        <w:t xml:space="preserve">4. Where the money goes, FY2024 (pp. 20-27)</w:t>
      </w:r>
    </w:p>
    <w:p>
      <w:pPr>
        <w:numPr>
          <w:ilvl w:val="0"/>
          <w:numId w:val="1004"/>
        </w:numPr>
        <w:pStyle w:val="Compact"/>
      </w:pPr>
      <w:r>
        <w:t xml:space="preserve">"Division I institutions reported spending over</w:t>
      </w:r>
      <w:r>
        <w:t xml:space="preserve"> </w:t>
      </w:r>
      <w:r>
        <w:rPr>
          <w:bCs/>
          <w:b/>
        </w:rPr>
        <w:t xml:space="preserve">$20.8 billion</w:t>
      </w:r>
      <w:r>
        <w:t xml:space="preserve"> </w:t>
      </w:r>
      <w:r>
        <w:t xml:space="preserve">on athletics in 2024,</w:t>
      </w:r>
      <w:r>
        <w:t xml:space="preserve"> </w:t>
      </w:r>
      <w:r>
        <w:rPr>
          <w:bCs/>
          <w:b/>
        </w:rPr>
        <w:t xml:space="preserve">9% more</w:t>
      </w:r>
      <w:r>
        <w:t xml:space="preserve"> </w:t>
      </w:r>
      <w:r>
        <w:t xml:space="preserve">than the previous year" (p. 20). Spending growth (9%) outpaced revenue growth (7%).</w:t>
      </w:r>
    </w:p>
    <w:p>
      <w:pPr>
        <w:numPr>
          <w:ilvl w:val="0"/>
          <w:numId w:val="1004"/>
        </w:numPr>
        <w:pStyle w:val="Compact"/>
      </w:pPr>
      <w:r>
        <w:t xml:space="preserve">"The</w:t>
      </w:r>
      <w:r>
        <w:t xml:space="preserve"> </w:t>
      </w:r>
      <w:r>
        <w:rPr>
          <w:bCs/>
          <w:b/>
        </w:rPr>
        <w:t xml:space="preserve">69 FBS autonomy schools</w:t>
      </w:r>
      <w:r>
        <w:t xml:space="preserve"> </w:t>
      </w:r>
      <w:r>
        <w:t xml:space="preserve">accounted for 55% of total Division I expenses" (p. 20).</w:t>
      </w:r>
    </w:p>
    <w:p>
      <w:pPr>
        <w:numPr>
          <w:ilvl w:val="0"/>
          <w:numId w:val="1004"/>
        </w:numPr>
        <w:pStyle w:val="Compact"/>
      </w:pPr>
      <w:r>
        <w:t xml:space="preserve">"Overall, Division I schools spent almost</w:t>
      </w:r>
      <w:r>
        <w:t xml:space="preserve"> </w:t>
      </w:r>
      <w:r>
        <w:rPr>
          <w:bCs/>
          <w:b/>
        </w:rPr>
        <w:t xml:space="preserve">$3.3 billion</w:t>
      </w:r>
      <w:r>
        <w:t xml:space="preserve"> </w:t>
      </w:r>
      <w:r>
        <w:t xml:space="preserve">on financial aid for student-athletes, accounting for 16% of total expenses" (p. 20).</w:t>
      </w:r>
    </w:p>
    <w:p>
      <w:pPr>
        <w:numPr>
          <w:ilvl w:val="0"/>
          <w:numId w:val="1004"/>
        </w:numPr>
        <w:pStyle w:val="Compact"/>
      </w:pPr>
      <w:r>
        <w:t xml:space="preserve">"Over</w:t>
      </w:r>
      <w:r>
        <w:t xml:space="preserve"> </w:t>
      </w:r>
      <w:r>
        <w:rPr>
          <w:bCs/>
          <w:b/>
        </w:rPr>
        <w:t xml:space="preserve">$3.9 billion</w:t>
      </w:r>
      <w:r>
        <w:t xml:space="preserve"> </w:t>
      </w:r>
      <w:r>
        <w:t xml:space="preserve">were spent on coach compensation, the largest spending category at 19% of total expenses" (p. 20).</w:t>
      </w:r>
    </w:p>
    <w:p>
      <w:pPr>
        <w:numPr>
          <w:ilvl w:val="0"/>
          <w:numId w:val="1004"/>
        </w:numPr>
        <w:pStyle w:val="Compact"/>
      </w:pPr>
      <w:r>
        <w:t xml:space="preserve">Share of total D-I expenses by subdivision (p. 21): FBS Autonomy 55%; FCS 17%; FBS Nonautonomy 16%; Basketball Subdivision 12%.</w:t>
      </w:r>
    </w:p>
    <w:p>
      <w:pPr>
        <w:numPr>
          <w:ilvl w:val="0"/>
          <w:numId w:val="1004"/>
        </w:numPr>
        <w:pStyle w:val="Compact"/>
      </w:pPr>
      <w:r>
        <w:t xml:space="preserve">All-Division I expense mix (p. 22): coach compensation</w:t>
      </w:r>
      <w:r>
        <w:t xml:space="preserve"> </w:t>
      </w:r>
      <w:r>
        <w:rPr>
          <w:bCs/>
          <w:b/>
        </w:rPr>
        <w:t xml:space="preserve">19%</w:t>
      </w:r>
      <w:r>
        <w:t xml:space="preserve">; facilities</w:t>
      </w:r>
      <w:r>
        <w:t xml:space="preserve"> </w:t>
      </w:r>
      <w:r>
        <w:rPr>
          <w:bCs/>
          <w:b/>
        </w:rPr>
        <w:t xml:space="preserve">18%</w:t>
      </w:r>
      <w:r>
        <w:t xml:space="preserve">; administrative compensation</w:t>
      </w:r>
      <w:r>
        <w:t xml:space="preserve"> </w:t>
      </w:r>
      <w:r>
        <w:rPr>
          <w:bCs/>
          <w:b/>
        </w:rPr>
        <w:t xml:space="preserve">17%</w:t>
      </w:r>
      <w:r>
        <w:t xml:space="preserve">; athletics aid</w:t>
      </w:r>
      <w:r>
        <w:t xml:space="preserve"> </w:t>
      </w:r>
      <w:r>
        <w:rPr>
          <w:bCs/>
          <w:b/>
        </w:rPr>
        <w:t xml:space="preserve">16%</w:t>
      </w:r>
      <w:r>
        <w:t xml:space="preserve">; other expenses 14%; game and travel 12%; recruiting 2%; medical 1%; guarantees 1%.</w:t>
      </w:r>
    </w:p>
    <w:p>
      <w:pPr>
        <w:numPr>
          <w:ilvl w:val="0"/>
          <w:numId w:val="1004"/>
        </w:numPr>
        <w:pStyle w:val="Compact"/>
      </w:pPr>
      <w:r>
        <w:t xml:space="preserve">"FBS autonomy schools spent over</w:t>
      </w:r>
      <w:r>
        <w:t xml:space="preserve"> </w:t>
      </w:r>
      <w:r>
        <w:rPr>
          <w:bCs/>
          <w:b/>
        </w:rPr>
        <w:t xml:space="preserve">$1.2 billion</w:t>
      </w:r>
      <w:r>
        <w:t xml:space="preserve"> </w:t>
      </w:r>
      <w:r>
        <w:t xml:space="preserve">on student athletics aid in 2024, accounting for approximately</w:t>
      </w:r>
      <w:r>
        <w:t xml:space="preserve"> </w:t>
      </w:r>
      <w:r>
        <w:rPr>
          <w:bCs/>
          <w:b/>
        </w:rPr>
        <w:t xml:space="preserve">11%</w:t>
      </w:r>
      <w:r>
        <w:t xml:space="preserve"> </w:t>
      </w:r>
      <w:r>
        <w:t xml:space="preserve">of total athletics spending" (p. 23). Aid was 17% of spending at FBS Nonautonomy, about 25% at FCS and 26% at Basketball Subdivision schools (p. 23).</w:t>
      </w:r>
    </w:p>
    <w:p>
      <w:pPr>
        <w:numPr>
          <w:ilvl w:val="0"/>
          <w:numId w:val="1004"/>
        </w:numPr>
        <w:pStyle w:val="Compact"/>
      </w:pPr>
      <w:r>
        <w:t xml:space="preserve">"For both FBS autonomy and nonautonomy schools, coach compensation was the largest spending category, accounting for almost 19% of total expenses" (p. 23).</w:t>
      </w:r>
    </w:p>
    <w:p>
      <w:pPr>
        <w:numPr>
          <w:ilvl w:val="0"/>
          <w:numId w:val="1004"/>
        </w:numPr>
        <w:pStyle w:val="Compact"/>
      </w:pPr>
      <w:r>
        <w:t xml:space="preserve">FBS Autonomy expense mix (p. 24): coach compensation 19%; administrative compensation 19%; facilities 19%; other 16%; game and travel 12%; athletics aid 11%; recruiting 2%; medical 2%; guarantees 1%.</w:t>
      </w:r>
    </w:p>
    <w:p>
      <w:pPr>
        <w:numPr>
          <w:ilvl w:val="0"/>
          <w:numId w:val="1004"/>
        </w:numPr>
        <w:pStyle w:val="Compact"/>
      </w:pPr>
      <w:r>
        <w:t xml:space="preserve">FBS Nonautonomy expense mix (p. 25): coach compensation 19%; athletics aid 17%; administrative compensation 16%; facilities 16%; other 14%; game and travel 13%; recruiting 2%; medical 2%; guarantees 1%.</w:t>
      </w:r>
    </w:p>
    <w:p>
      <w:pPr>
        <w:numPr>
          <w:ilvl w:val="0"/>
          <w:numId w:val="1004"/>
        </w:numPr>
        <w:pStyle w:val="Compact"/>
      </w:pPr>
      <w:r>
        <w:t xml:space="preserve">FCS expense mix (p. 26): athletics aid 25%; coach compensation 19%; facilities 16%; administrative compensation 13%; other 12%; game and travel 12%; recruiting, medical, guarantees 1% each.</w:t>
      </w:r>
    </w:p>
    <w:p>
      <w:pPr>
        <w:numPr>
          <w:ilvl w:val="0"/>
          <w:numId w:val="1004"/>
        </w:numPr>
        <w:pStyle w:val="Compact"/>
      </w:pPr>
      <w:r>
        <w:t xml:space="preserve">Basketball Subdivision expense mix (p. 27): athletics aid 26%; coach compensation 19%; facilities 16%; administrative compensation 14%; game and travel 12%; other 11%; recruiting, medical, guarantees 1% each.</w:t>
      </w:r>
    </w:p>
    <w:bookmarkEnd w:id="24"/>
    <w:bookmarkStart w:id="25" w:name="X8f0e11021b65888f315c0ec501475cee92b10c2"/>
    <w:p>
      <w:pPr>
        <w:pStyle w:val="Heading2"/>
      </w:pPr>
      <w:r>
        <w:t xml:space="preserve">5. Ten-year trends, FY2015 to FY2024 (pp. 29-37)</w:t>
      </w:r>
    </w:p>
    <w:p>
      <w:pPr>
        <w:pStyle w:val="FirstParagraph"/>
      </w:pPr>
      <w:r>
        <w:t xml:space="preserve">Text-stated findings:</w:t>
      </w:r>
    </w:p>
    <w:p>
      <w:pPr>
        <w:numPr>
          <w:ilvl w:val="0"/>
          <w:numId w:val="1005"/>
        </w:numPr>
        <w:pStyle w:val="Compact"/>
      </w:pPr>
      <w:r>
        <w:t xml:space="preserve">"Over the 10-year period, median generated revenue grew by</w:t>
      </w:r>
      <w:r>
        <w:t xml:space="preserve"> </w:t>
      </w:r>
      <w:r>
        <w:rPr>
          <w:bCs/>
          <w:b/>
        </w:rPr>
        <w:t xml:space="preserve">56%</w:t>
      </w:r>
      <w:r>
        <w:t xml:space="preserve"> </w:t>
      </w:r>
      <w:r>
        <w:t xml:space="preserve">among FBS autonomy schools and</w:t>
      </w:r>
      <w:r>
        <w:t xml:space="preserve"> </w:t>
      </w:r>
      <w:r>
        <w:rPr>
          <w:bCs/>
          <w:b/>
        </w:rPr>
        <w:t xml:space="preserve">35%</w:t>
      </w:r>
      <w:r>
        <w:t xml:space="preserve"> </w:t>
      </w:r>
      <w:r>
        <w:t xml:space="preserve">among FBS nonautonomy schools. Median total expenses grew by</w:t>
      </w:r>
      <w:r>
        <w:t xml:space="preserve"> </w:t>
      </w:r>
      <w:r>
        <w:rPr>
          <w:bCs/>
          <w:b/>
        </w:rPr>
        <w:t xml:space="preserve">81%</w:t>
      </w:r>
      <w:r>
        <w:t xml:space="preserve"> </w:t>
      </w:r>
      <w:r>
        <w:t xml:space="preserve">for autonomy schools and</w:t>
      </w:r>
      <w:r>
        <w:t xml:space="preserve"> </w:t>
      </w:r>
      <w:r>
        <w:rPr>
          <w:bCs/>
          <w:b/>
        </w:rPr>
        <w:t xml:space="preserve">51%</w:t>
      </w:r>
      <w:r>
        <w:t xml:space="preserve"> </w:t>
      </w:r>
      <w:r>
        <w:t xml:space="preserve">for nonautonomy schools" (p. 36).</w:t>
      </w:r>
    </w:p>
    <w:p>
      <w:pPr>
        <w:numPr>
          <w:ilvl w:val="0"/>
          <w:numId w:val="1005"/>
        </w:numPr>
        <w:pStyle w:val="Compact"/>
      </w:pPr>
      <w:r>
        <w:t xml:space="preserve">"In 2015, the median expense gap between the autonomy and nonautonomy groups was</w:t>
      </w:r>
      <w:r>
        <w:t xml:space="preserve"> </w:t>
      </w:r>
      <w:r>
        <w:rPr>
          <w:bCs/>
          <w:b/>
        </w:rPr>
        <w:t xml:space="preserve">$60 million</w:t>
      </w:r>
      <w:r>
        <w:t xml:space="preserve">. It is now</w:t>
      </w:r>
      <w:r>
        <w:t xml:space="preserve"> </w:t>
      </w:r>
      <w:r>
        <w:rPr>
          <w:bCs/>
          <w:b/>
        </w:rPr>
        <w:t xml:space="preserve">$118 million</w:t>
      </w:r>
      <w:r>
        <w:t xml:space="preserve">" (p. 36).</w:t>
      </w:r>
    </w:p>
    <w:p>
      <w:pPr>
        <w:numPr>
          <w:ilvl w:val="0"/>
          <w:numId w:val="1005"/>
        </w:numPr>
        <w:pStyle w:val="Compact"/>
      </w:pPr>
      <w:r>
        <w:t xml:space="preserve">"The median net operating deficit for FBS autonomy schools exceeded</w:t>
      </w:r>
      <w:r>
        <w:t xml:space="preserve"> </w:t>
      </w:r>
      <w:r>
        <w:rPr>
          <w:bCs/>
          <w:b/>
        </w:rPr>
        <w:t xml:space="preserve">$15 million</w:t>
      </w:r>
      <w:r>
        <w:t xml:space="preserve"> </w:t>
      </w:r>
      <w:r>
        <w:t xml:space="preserve">in 2024, an increase of</w:t>
      </w:r>
      <w:r>
        <w:t xml:space="preserve"> </w:t>
      </w:r>
      <w:r>
        <w:rPr>
          <w:bCs/>
          <w:b/>
        </w:rPr>
        <w:t xml:space="preserve">$6.5 million</w:t>
      </w:r>
      <w:r>
        <w:t xml:space="preserve"> </w:t>
      </w:r>
      <w:r>
        <w:t xml:space="preserve">compared to the previous year" (p. 36).</w:t>
      </w:r>
    </w:p>
    <w:p>
      <w:pPr>
        <w:numPr>
          <w:ilvl w:val="0"/>
          <w:numId w:val="1005"/>
        </w:numPr>
        <w:pStyle w:val="Compact"/>
      </w:pPr>
      <w:r>
        <w:t xml:space="preserve">"The median deficit for nonautonomy schools was</w:t>
      </w:r>
      <w:r>
        <w:t xml:space="preserve"> </w:t>
      </w:r>
      <w:r>
        <w:rPr>
          <w:bCs/>
          <w:b/>
        </w:rPr>
        <w:t xml:space="preserve">$27 million</w:t>
      </w:r>
      <w:r>
        <w:t xml:space="preserve"> </w:t>
      </w:r>
      <w:r>
        <w:t xml:space="preserve">in 2024, which is less than a $1 million increase from the previous year" (p. 36).</w:t>
      </w:r>
    </w:p>
    <w:p>
      <w:pPr>
        <w:numPr>
          <w:ilvl w:val="0"/>
          <w:numId w:val="1005"/>
        </w:numPr>
        <w:pStyle w:val="Compact"/>
      </w:pPr>
      <w:r>
        <w:t xml:space="preserve">FCS: median generated revenue grew</w:t>
      </w:r>
      <w:r>
        <w:t xml:space="preserve"> </w:t>
      </w:r>
      <w:r>
        <w:rPr>
          <w:bCs/>
          <w:b/>
        </w:rPr>
        <w:t xml:space="preserve">47%</w:t>
      </w:r>
      <w:r>
        <w:t xml:space="preserve"> </w:t>
      </w:r>
      <w:r>
        <w:t xml:space="preserve">and median total expenses</w:t>
      </w:r>
      <w:r>
        <w:t xml:space="preserve"> </w:t>
      </w:r>
      <w:r>
        <w:rPr>
          <w:bCs/>
          <w:b/>
        </w:rPr>
        <w:t xml:space="preserve">57%</w:t>
      </w:r>
      <w:r>
        <w:t xml:space="preserve"> </w:t>
      </w:r>
      <w:r>
        <w:t xml:space="preserve">over ten years; the median net operating deficit went from</w:t>
      </w:r>
      <w:r>
        <w:t xml:space="preserve"> </w:t>
      </w:r>
      <w:r>
        <w:rPr>
          <w:bCs/>
          <w:b/>
        </w:rPr>
        <w:t xml:space="preserve">$11.9 million (2015) to $16.8 million (2024)</w:t>
      </w:r>
      <w:r>
        <w:t xml:space="preserve">, a 41% change (p. 37).</w:t>
      </w:r>
    </w:p>
    <w:p>
      <w:pPr>
        <w:numPr>
          <w:ilvl w:val="0"/>
          <w:numId w:val="1005"/>
        </w:numPr>
        <w:pStyle w:val="Compact"/>
      </w:pPr>
      <w:r>
        <w:t xml:space="preserve">Basketball Subdivision: median generated revenue grew</w:t>
      </w:r>
      <w:r>
        <w:t xml:space="preserve"> </w:t>
      </w:r>
      <w:r>
        <w:rPr>
          <w:bCs/>
          <w:b/>
        </w:rPr>
        <w:t xml:space="preserve">29%</w:t>
      </w:r>
      <w:r>
        <w:t xml:space="preserve"> </w:t>
      </w:r>
      <w:r>
        <w:t xml:space="preserve">while median total expenses grew</w:t>
      </w:r>
      <w:r>
        <w:t xml:space="preserve"> </w:t>
      </w:r>
      <w:r>
        <w:rPr>
          <w:bCs/>
          <w:b/>
        </w:rPr>
        <w:t xml:space="preserve">51%</w:t>
      </w:r>
      <w:r>
        <w:t xml:space="preserve">; the median deficit widened about 49% (p. 37).</w:t>
      </w:r>
    </w:p>
    <w:p>
      <w:pPr>
        <w:pStyle w:val="FirstParagraph"/>
      </w:pPr>
      <w:r>
        <w:t xml:space="preserve">FBS schools with positive net generated revenue ("PNR"), with the median surplus among those schools (p. 35, table):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Schools with PNR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PNR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$5.74M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$9.97M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$11.66M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$6.73M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$7.88M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$7.38M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$15.77M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$9.61M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$4.65M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$4.06M</w:t>
            </w:r>
          </w:p>
        </w:tc>
      </w:tr>
    </w:tbl>
    <w:p>
      <w:pPr>
        <w:pStyle w:val="BodyText"/>
      </w:pPr>
      <w:r>
        <w:t xml:space="preserve">Approximate values read from the trend charts (no data labels in the PDF; treat as ±$2M and cite the chart, not the number):</w:t>
      </w:r>
    </w:p>
    <w:p>
      <w:pPr>
        <w:numPr>
          <w:ilvl w:val="0"/>
          <w:numId w:val="1006"/>
        </w:numPr>
        <w:pStyle w:val="Compact"/>
      </w:pPr>
      <w:r>
        <w:t xml:space="preserve">Median total revenue, FBS Autonomy (p. 29): about $92M (2015), $97M (2016), $105M (2017), $114M (2018), $122M (2019), $115M (2020), $102M (2021), $139M (2022), $143M (2023), $149M (2024). FBS Nonautonomy: about $31M (2015) rising to $47M (2024).</w:t>
      </w:r>
    </w:p>
    <w:p>
      <w:pPr>
        <w:numPr>
          <w:ilvl w:val="0"/>
          <w:numId w:val="1006"/>
        </w:numPr>
        <w:pStyle w:val="Compact"/>
      </w:pPr>
      <w:r>
        <w:t xml:space="preserve">Median generated revenue, FBS Autonomy (p. 30): about $85M (2015), $95M (2016), $100M (2017), $106M (2018), $110M (2019), $103M (2020), $77M (2021, COVID), $117M (2022), $127M (2023), $134M (2024). FBS Nonautonomy: about $13M (2015) to $17M (2024), essentially flat.</w:t>
      </w:r>
    </w:p>
    <w:p>
      <w:pPr>
        <w:numPr>
          <w:ilvl w:val="0"/>
          <w:numId w:val="1006"/>
        </w:numPr>
        <w:pStyle w:val="Compact"/>
      </w:pPr>
      <w:r>
        <w:t xml:space="preserve">Median total expenses, FBS Autonomy (p. 31): about $92M (2015), $99M (2016), $105M (2017), $115M (2018), $120M (2019), $119M (2020), $104M (2021), $132M (2022), $147M (2023), $167M (2024). FBS Nonautonomy: about $32M (2015) to $49M (2024).</w:t>
      </w:r>
    </w:p>
    <w:p>
      <w:pPr>
        <w:numPr>
          <w:ilvl w:val="0"/>
          <w:numId w:val="1006"/>
        </w:numPr>
        <w:pStyle w:val="Compact"/>
      </w:pPr>
      <w:r>
        <w:t xml:space="preserve">Median net operating result excluding allocated support, all FBS (p. 33): about −$12M (2015), −$14M (2016), −$14M (2017), −$16M (2018), −$19M (2019), −$19M (2020), −$23M (2021), −$19M (2022), −$22M (2023), −$25M (2024).</w:t>
      </w:r>
    </w:p>
    <w:p>
      <w:pPr>
        <w:numPr>
          <w:ilvl w:val="0"/>
          <w:numId w:val="1006"/>
        </w:numPr>
        <w:pStyle w:val="Compact"/>
      </w:pPr>
      <w:r>
        <w:t xml:space="preserve">Same measure by FBS group (p. 34): Autonomy about −$3M (2015), −$4M (2016), −$3M (2017), −$3M (2018), −$7M (2019), −$8M (2020), −$18M (2021), −$3M (2022), −$9M (2023), −$15M (2024). Nonautonomy about −$19M (2015), −$20M (2016), −$21M (2017), −$22M (2018), −$23M (2019), −$24M (2020), −$24M (2021), −$23M (2022), −$26M (2023), −$27M (2024).</w:t>
      </w:r>
    </w:p>
    <w:p>
      <w:pPr>
        <w:numPr>
          <w:ilvl w:val="0"/>
          <w:numId w:val="1006"/>
        </w:numPr>
        <w:pStyle w:val="Compact"/>
      </w:pPr>
      <w:r>
        <w:t xml:space="preserve">Reading of those two charts: the autonomy median was within a few million of break-even from 2015 through 2018 and in 2022, and the FY2024 autonomy deficit (−$15M) is the worst non-COVID year in the series. The nonautonomy deficit has widened every year except 2022.</w:t>
      </w:r>
    </w:p>
    <w:bookmarkEnd w:id="25"/>
    <w:bookmarkStart w:id="26" w:name="X773c28ac12be0fb56f7d2f244d47e7a0bc79900"/>
    <w:p>
      <w:pPr>
        <w:pStyle w:val="Heading2"/>
      </w:pPr>
      <w:r>
        <w:t xml:space="preserve">6. Dashboard indicators (pp. 39-47)</w:t>
      </w:r>
    </w:p>
    <w:p>
      <w:pPr>
        <w:numPr>
          <w:ilvl w:val="0"/>
          <w:numId w:val="1007"/>
        </w:numPr>
        <w:pStyle w:val="Compact"/>
      </w:pPr>
      <w:r>
        <w:t xml:space="preserve">Median revenue self-sufficiency, FY2024 (p. 45-47): FBS Autonomy</w:t>
      </w:r>
      <w:r>
        <w:t xml:space="preserve"> </w:t>
      </w:r>
      <w:r>
        <w:rPr>
          <w:bCs/>
          <w:b/>
        </w:rPr>
        <w:t xml:space="preserve">89%</w:t>
      </w:r>
      <w:r>
        <w:t xml:space="preserve"> </w:t>
      </w:r>
      <w:r>
        <w:t xml:space="preserve">("the lowest except for 2021 with COVID-19 impact"); FBS Nonautonomy</w:t>
      </w:r>
      <w:r>
        <w:t xml:space="preserve"> </w:t>
      </w:r>
      <w:r>
        <w:rPr>
          <w:bCs/>
          <w:b/>
        </w:rPr>
        <w:t xml:space="preserve">38%</w:t>
      </w:r>
      <w:r>
        <w:t xml:space="preserve"> </w:t>
      </w:r>
      <w:r>
        <w:t xml:space="preserve">("consistent with the trend in prepandemic years"); FCS</w:t>
      </w:r>
      <w:r>
        <w:t xml:space="preserve"> </w:t>
      </w:r>
      <w:r>
        <w:rPr>
          <w:bCs/>
          <w:b/>
        </w:rPr>
        <w:t xml:space="preserve">25%</w:t>
      </w:r>
      <w:r>
        <w:t xml:space="preserve"> </w:t>
      </w:r>
      <w:r>
        <w:t xml:space="preserve">(27% the prior year); Basketball Subdivision</w:t>
      </w:r>
      <w:r>
        <w:t xml:space="preserve"> </w:t>
      </w:r>
      <w:r>
        <w:rPr>
          <w:bCs/>
          <w:b/>
        </w:rPr>
        <w:t xml:space="preserve">18%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Self-sufficiency chart readings (p. 39): FBS Autonomy roughly 97-98% from 2015 to 2018, 95% in 2019, 93% in 2020, 82% in 2021, 98% in 2022, 94% in 2023, 89% in 2024. FBS Nonautonomy roughly 40-41% from 2015 to 2019, 35% in 2020, 31% in 2021, then 38-39%.</w:t>
      </w:r>
    </w:p>
    <w:p>
      <w:pPr>
        <w:numPr>
          <w:ilvl w:val="0"/>
          <w:numId w:val="1007"/>
        </w:numPr>
        <w:pStyle w:val="Compact"/>
      </w:pPr>
      <w:r>
        <w:t xml:space="preserve">"Over the 10-year period, coach compensation as a proportion of total expenses has been relatively consistent in the range of</w:t>
      </w:r>
      <w:r>
        <w:t xml:space="preserve"> </w:t>
      </w:r>
      <w:r>
        <w:rPr>
          <w:bCs/>
          <w:b/>
        </w:rPr>
        <w:t xml:space="preserve">18%-20%</w:t>
      </w:r>
      <w:r>
        <w:t xml:space="preserve"> </w:t>
      </w:r>
      <w:r>
        <w:t xml:space="preserve">for both autonomy and nonautonomy schools, except during the pandemic years" (p. 45). Total compensation ranged</w:t>
      </w:r>
      <w:r>
        <w:t xml:space="preserve"> </w:t>
      </w:r>
      <w:r>
        <w:rPr>
          <w:bCs/>
          <w:b/>
        </w:rPr>
        <w:t xml:space="preserve">32%-36%</w:t>
      </w:r>
      <w:r>
        <w:t xml:space="preserve"> </w:t>
      </w:r>
      <w:r>
        <w:t xml:space="preserve">of expenses (p. 45).</w:t>
      </w:r>
    </w:p>
    <w:p>
      <w:pPr>
        <w:numPr>
          <w:ilvl w:val="0"/>
          <w:numId w:val="1007"/>
        </w:numPr>
        <w:pStyle w:val="Compact"/>
      </w:pPr>
      <w:r>
        <w:t xml:space="preserve">"The median ratio of athletics expenses to institutional expenses has been stable for FBS schools in the</w:t>
      </w:r>
      <w:r>
        <w:t xml:space="preserve"> </w:t>
      </w:r>
      <w:r>
        <w:rPr>
          <w:bCs/>
          <w:b/>
        </w:rPr>
        <w:t xml:space="preserve">6%-7%</w:t>
      </w:r>
      <w:r>
        <w:t xml:space="preserve"> </w:t>
      </w:r>
      <w:r>
        <w:t xml:space="preserve">range" (p. 45). FCS:</w:t>
      </w:r>
      <w:r>
        <w:t xml:space="preserve"> </w:t>
      </w:r>
      <w:r>
        <w:rPr>
          <w:bCs/>
          <w:b/>
        </w:rPr>
        <w:t xml:space="preserve">9%</w:t>
      </w:r>
      <w:r>
        <w:t xml:space="preserve">, "the highest among the three subdivisions" (p. 46). Basketball Subdivision: 7% (p. 47).</w:t>
      </w:r>
    </w:p>
    <w:p>
      <w:pPr>
        <w:numPr>
          <w:ilvl w:val="0"/>
          <w:numId w:val="1007"/>
        </w:numPr>
        <w:pStyle w:val="Compact"/>
      </w:pPr>
      <w:r>
        <w:t xml:space="preserve">"In 2024, the median expense growth gap between athletics spending and institutional spending is</w:t>
      </w:r>
      <w:r>
        <w:t xml:space="preserve"> </w:t>
      </w:r>
      <w:r>
        <w:rPr>
          <w:bCs/>
          <w:b/>
        </w:rPr>
        <w:t xml:space="preserve">−0.2%</w:t>
      </w:r>
      <w:r>
        <w:t xml:space="preserve"> </w:t>
      </w:r>
      <w:r>
        <w:t xml:space="preserve">for autonomy schools and</w:t>
      </w:r>
      <w:r>
        <w:t xml:space="preserve"> </w:t>
      </w:r>
      <w:r>
        <w:rPr>
          <w:bCs/>
          <w:b/>
        </w:rPr>
        <w:t xml:space="preserve">2.5%</w:t>
      </w:r>
      <w:r>
        <w:t xml:space="preserve"> </w:t>
      </w:r>
      <w:r>
        <w:t xml:space="preserve">for nonautonomy FBS schools. These numbers seem to suggest the COVID-19 impact (adjustment) in athletics spending is over" (p. 45). FCS gap 0.9% (p. 46); Basketball Subdivision 0.9% (p. 47).</w:t>
      </w:r>
    </w:p>
    <w:p>
      <w:pPr>
        <w:numPr>
          <w:ilvl w:val="0"/>
          <w:numId w:val="1007"/>
        </w:numPr>
        <w:pStyle w:val="Compact"/>
      </w:pPr>
      <w:r>
        <w:t xml:space="preserve">FCS: coach compensation steady at 19% of expenses; total compensation 32% (p. 46).</w:t>
      </w:r>
    </w:p>
    <w:bookmarkEnd w:id="26"/>
    <w:bookmarkStart w:id="27" w:name="X253d3b08fbea4467ddf5d21ae9db4f161db2d48"/>
    <w:p>
      <w:pPr>
        <w:pStyle w:val="Heading2"/>
      </w:pPr>
      <w:r>
        <w:t xml:space="preserve">7. FBS by expense quartile, FY2024 (pp. 49-59)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Median, FY2024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Quartile 1 (top)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Quartile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Quartile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Quartile 4 (bottom)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$180.74M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$114.66M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$31.76M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$12.99M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$82.19M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$196.98M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$135.19M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$66.87M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$38.73M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$106.93M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$192.94M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$136.56M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$66.30M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$38.91M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$109.99M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generated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−$8.30M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−$20.92M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−$35.06M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−$25.23M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−$25.13M</w:t>
            </w:r>
          </w:p>
        </w:tc>
      </w:tr>
    </w:tbl>
    <w:p>
      <w:pPr>
        <w:numPr>
          <w:ilvl w:val="0"/>
          <w:numId w:val="1008"/>
        </w:numPr>
        <w:pStyle w:val="Compact"/>
      </w:pPr>
      <w:r>
        <w:t xml:space="preserve">Even the top expense quartile of FBS runs a median net generated deficit (−$8.3M). The third quartile has the largest deficit (−$35.1M) because its expenses ($66.3M) are more than double its generated revenue ($31.8M) (p. 49).</w:t>
      </w:r>
    </w:p>
    <w:p>
      <w:pPr>
        <w:numPr>
          <w:ilvl w:val="0"/>
          <w:numId w:val="1008"/>
        </w:numPr>
        <w:pStyle w:val="Compact"/>
      </w:pPr>
      <w:r>
        <w:t xml:space="preserve">Top four revenue categories, FY2024 (p. 56):</w:t>
      </w:r>
    </w:p>
    <w:p>
      <w:pPr>
        <w:numPr>
          <w:ilvl w:val="1"/>
          <w:numId w:val="1009"/>
        </w:numPr>
        <w:pStyle w:val="Compact"/>
      </w:pPr>
      <w:r>
        <w:t xml:space="preserve">Quartile 1: alumni contributions 25%; broadcast rights 20%; ticket sales 18%; royalties and sponsorships 9%.</w:t>
      </w:r>
    </w:p>
    <w:p>
      <w:pPr>
        <w:numPr>
          <w:ilvl w:val="1"/>
          <w:numId w:val="1009"/>
        </w:numPr>
        <w:pStyle w:val="Compact"/>
      </w:pPr>
      <w:r>
        <w:t xml:space="preserve">Quartile 2: broadcast rights 21%; alumni contributions 20%; ticket sales 14%; NCAA/conference distributions 10%.</w:t>
      </w:r>
    </w:p>
    <w:p>
      <w:pPr>
        <w:numPr>
          <w:ilvl w:val="1"/>
          <w:numId w:val="1009"/>
        </w:numPr>
        <w:pStyle w:val="Compact"/>
      </w:pPr>
      <w:r>
        <w:t xml:space="preserve">Quartile 3: direct institutional support 24%; alumni contributions 14%; student fees 10%; ticket sales 10%.</w:t>
      </w:r>
    </w:p>
    <w:p>
      <w:pPr>
        <w:numPr>
          <w:ilvl w:val="1"/>
          <w:numId w:val="1009"/>
        </w:numPr>
        <w:pStyle w:val="Compact"/>
      </w:pPr>
      <w:r>
        <w:t xml:space="preserve">Quartile 4: direct institutional support</w:t>
      </w:r>
      <w:r>
        <w:t xml:space="preserve"> </w:t>
      </w:r>
      <w:r>
        <w:rPr>
          <w:bCs/>
          <w:b/>
        </w:rPr>
        <w:t xml:space="preserve">36%</w:t>
      </w:r>
      <w:r>
        <w:t xml:space="preserve">; student fees</w:t>
      </w:r>
      <w:r>
        <w:t xml:space="preserve"> </w:t>
      </w:r>
      <w:r>
        <w:rPr>
          <w:bCs/>
          <w:b/>
        </w:rPr>
        <w:t xml:space="preserve">20%</w:t>
      </w:r>
      <w:r>
        <w:t xml:space="preserve">; NCAA/conference distributions 10%; alumni contributions 9%.</w:t>
      </w:r>
    </w:p>
    <w:p>
      <w:pPr>
        <w:numPr>
          <w:ilvl w:val="1"/>
          <w:numId w:val="1009"/>
        </w:numPr>
        <w:pStyle w:val="Compact"/>
      </w:pPr>
      <w:r>
        <w:t xml:space="preserve">All FBS: alumni contributions 21%; broadcast rights 17%; ticket sales 14%; direct institutional support 13%.</w:t>
      </w:r>
    </w:p>
    <w:p>
      <w:pPr>
        <w:numPr>
          <w:ilvl w:val="0"/>
          <w:numId w:val="1008"/>
        </w:numPr>
        <w:pStyle w:val="Compact"/>
      </w:pPr>
      <w:r>
        <w:t xml:space="preserve">Top four expense categories, FY2024 (p. 58):</w:t>
      </w:r>
    </w:p>
    <w:p>
      <w:pPr>
        <w:numPr>
          <w:ilvl w:val="1"/>
          <w:numId w:val="1010"/>
        </w:numPr>
        <w:pStyle w:val="Compact"/>
      </w:pPr>
      <w:r>
        <w:t xml:space="preserve">Quartile 1: salaries and benefits 35%; facilities and maintenance 19%; grants-in-aid 10%; other expenses 8%.</w:t>
      </w:r>
    </w:p>
    <w:p>
      <w:pPr>
        <w:numPr>
          <w:ilvl w:val="1"/>
          <w:numId w:val="1010"/>
        </w:numPr>
        <w:pStyle w:val="Compact"/>
      </w:pPr>
      <w:r>
        <w:t xml:space="preserve">Quartile 2: salaries and benefits 36%; facilities and maintenance 16%; grants-in-aid 12%; team travel 6%.</w:t>
      </w:r>
    </w:p>
    <w:p>
      <w:pPr>
        <w:numPr>
          <w:ilvl w:val="1"/>
          <w:numId w:val="1010"/>
        </w:numPr>
        <w:pStyle w:val="Compact"/>
      </w:pPr>
      <w:r>
        <w:t xml:space="preserve">Quartile 3: salaries and benefits 35%; grants-in-aid 14%; facilities and maintenance 14%; team travel 8%.</w:t>
      </w:r>
    </w:p>
    <w:p>
      <w:pPr>
        <w:numPr>
          <w:ilvl w:val="1"/>
          <w:numId w:val="1010"/>
        </w:numPr>
        <w:pStyle w:val="Compact"/>
      </w:pPr>
      <w:r>
        <w:t xml:space="preserve">Quartile 4: salaries and benefits 35%; grants-in-aid 21%; facilities and maintenance 10%; team travel 9%.</w:t>
      </w:r>
    </w:p>
    <w:p>
      <w:pPr>
        <w:numPr>
          <w:ilvl w:val="1"/>
          <w:numId w:val="1010"/>
        </w:numPr>
        <w:pStyle w:val="Compact"/>
      </w:pPr>
      <w:r>
        <w:t xml:space="preserve">All FBS: salaries and benefits 36%; facilities and maintenance 16%; grants-in-aid 12%; other expenses 7%.</w:t>
      </w:r>
    </w:p>
    <w:bookmarkEnd w:id="27"/>
    <w:bookmarkStart w:id="28" w:name="X8d049637dc8ff05a73ec3ab045dc584f668c587"/>
    <w:p>
      <w:pPr>
        <w:pStyle w:val="Heading2"/>
      </w:pPr>
      <w:r>
        <w:t xml:space="preserve">8. FCS and Basketball Subdivision by quartile, FY2024 (pp. 61-83)</w:t>
      </w:r>
    </w:p>
    <w:p>
      <w:pPr>
        <w:numPr>
          <w:ilvl w:val="0"/>
          <w:numId w:val="1011"/>
        </w:numPr>
        <w:pStyle w:val="Compact"/>
      </w:pPr>
      <w:r>
        <w:t xml:space="preserve">FCS medians (p. 61): generated revenue $10.28M / $7.89M / $5.17M / $4.21M by quartile (all FCS $6.08M); total expenses $46.35M / $30.22M / $21.79M / $15.69M; net generated revenue −$33.37M / −$22.88M / −$15.89M / −$10.98M (all FCS −$16.83M). The biggest-spending FCS quartile has the biggest deficit.</w:t>
      </w:r>
    </w:p>
    <w:p>
      <w:pPr>
        <w:numPr>
          <w:ilvl w:val="0"/>
          <w:numId w:val="1011"/>
        </w:numPr>
        <w:pStyle w:val="Compact"/>
      </w:pPr>
      <w:r>
        <w:t xml:space="preserve">FCS top revenue category in every quartile is direct institutional support, at 46% to 50% of total revenue (48% overall); student fees are second at 12% to 15% (p. 68).</w:t>
      </w:r>
    </w:p>
    <w:p>
      <w:pPr>
        <w:numPr>
          <w:ilvl w:val="0"/>
          <w:numId w:val="1011"/>
        </w:numPr>
        <w:pStyle w:val="Compact"/>
      </w:pPr>
      <w:r>
        <w:t xml:space="preserve">FCS top expense categories overall (p. 70): salaries and benefits 32%; grants-in-aid 25%; facilities and maintenance 16%; team travel 11%.</w:t>
      </w:r>
    </w:p>
    <w:p>
      <w:pPr>
        <w:numPr>
          <w:ilvl w:val="0"/>
          <w:numId w:val="1011"/>
        </w:numPr>
        <w:pStyle w:val="Compact"/>
      </w:pPr>
      <w:r>
        <w:t xml:space="preserve">Basketball Subdivision medians (p. 73): generated revenue $10.79M / $4.11M / $3.45M / $2.53M (overall $3.95M); total expenses $40.83M / $26.46M / $19.45M / $13.10M; net generated revenue −$31.96M / −$22.30M / −$15.14M / −$10.47M (overall −$17.55M).</w:t>
      </w:r>
    </w:p>
    <w:p>
      <w:pPr>
        <w:numPr>
          <w:ilvl w:val="0"/>
          <w:numId w:val="1011"/>
        </w:numPr>
        <w:pStyle w:val="Compact"/>
      </w:pPr>
      <w:r>
        <w:t xml:space="preserve">Basketball Subdivision top revenue category in every quartile is direct institutional support, 51% to 60% of total revenue (53% overall); student fees or indirect institutional support rank second (p. 80).</w:t>
      </w:r>
    </w:p>
    <w:p>
      <w:pPr>
        <w:numPr>
          <w:ilvl w:val="0"/>
          <w:numId w:val="1011"/>
        </w:numPr>
        <w:pStyle w:val="Compact"/>
      </w:pPr>
      <w:r>
        <w:t xml:space="preserve">Basketball Subdivision top expense categories overall (p. 82): salaries and benefits 33%; grants-in-aid 26%; team travel 9%; indirect facilities and administrative support 9%.</w:t>
      </w:r>
    </w:p>
    <w:bookmarkEnd w:id="28"/>
    <w:bookmarkStart w:id="29" w:name="X169177562df2fd5fbf4e250852995b5cb554c52"/>
    <w:p>
      <w:pPr>
        <w:pStyle w:val="Heading2"/>
      </w:pPr>
      <w:r>
        <w:t xml:space="preserve">9. How these numbers connect to the four questions</w:t>
      </w:r>
    </w:p>
    <w:p>
      <w:pPr>
        <w:numPr>
          <w:ilvl w:val="0"/>
          <w:numId w:val="1012"/>
        </w:numPr>
        <w:pStyle w:val="Compact"/>
      </w:pPr>
      <w:r>
        <w:t xml:space="preserve">Pre-NIL baseline: the PNR table (p. 35) shows 20 to 29 FBS schools covering their expenses in every pre-NIL year 2015-2020, so the deficit predates NIL; FY2021 (9 schools) is the COVID year.</w:t>
      </w:r>
    </w:p>
    <w:p>
      <w:pPr>
        <w:numPr>
          <w:ilvl w:val="0"/>
          <w:numId w:val="1012"/>
        </w:numPr>
        <w:pStyle w:val="Compact"/>
      </w:pPr>
      <w:r>
        <w:t xml:space="preserve">Revenue vs. cost: generated revenue at autonomy schools grew 56% over ten years, but expenses grew 81% (p. 36). Revenue growth is real; spending outran it.</w:t>
      </w:r>
    </w:p>
    <w:p>
      <w:pPr>
        <w:numPr>
          <w:ilvl w:val="0"/>
          <w:numId w:val="1012"/>
        </w:numPr>
        <w:pStyle w:val="Compact"/>
      </w:pPr>
      <w:r>
        <w:t xml:space="preserve">Concentration: 69 autonomy schools take 77% of generated revenue and 55% of all spending (pp. 12, 20); the autonomy/nonautonomy median expense gap doubled from $60M to $118M (p. 36).</w:t>
      </w:r>
    </w:p>
    <w:p>
      <w:pPr>
        <w:numPr>
          <w:ilvl w:val="0"/>
          <w:numId w:val="1012"/>
        </w:numPr>
        <w:pStyle w:val="Compact"/>
      </w:pPr>
      <w:r>
        <w:t xml:space="preserve">Who fills the gap: $7.4B of the $20.5B is allocated support (p. 12); it is 41% of revenue at nonautonomy FBS, 58% at FCS, 64% at non-football D-I (p. 15), and direct institutional support is the single largest revenue line for bottom-half FBS, all of FCS and all of the Basketball Subdivision (pp. 56, 68, 80).</w:t>
      </w:r>
    </w:p>
    <w:p>
      <w:pPr>
        <w:numPr>
          <w:ilvl w:val="0"/>
          <w:numId w:val="1012"/>
        </w:numPr>
        <w:pStyle w:val="Compact"/>
      </w:pPr>
      <w:r>
        <w:t xml:space="preserve">Cost-cutting room: coach compensation (19%), administrative compensation (17%), facilities (18%) and aid (16%) together are 70% of all D-I spending (p. 22). Coach and total compensation shares have been flat for a decade (p. 45), so cuts would have to come from headcount or facilities commitments, not from a trend reversal that is already under way.</w:t>
      </w:r>
    </w:p>
    <w:p>
      <w:pPr>
        <w:numPr>
          <w:ilvl w:val="0"/>
          <w:numId w:val="1012"/>
        </w:numPr>
        <w:pStyle w:val="Compact"/>
      </w:pPr>
      <w:r>
        <w:t xml:space="preserve">Caveat on timing: this report ends at FY2024, before the House settlement's revenue-sharing payments (which begin in FY2026) and before the FY2025 data that Knight-Newhouse has already published for public FBS schools.</w:t>
      </w:r>
    </w:p>
    <w:bookmarkEnd w:id="29"/>
    <w:bookmarkEnd w:id="30"/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ttps://ncaaorg.s3.amazonaws.com/research/Finances/2025D1RES_DI-RevExpReport_Final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ncaaorg.s3.amazonaws.com/research/Finances/2025D1RES_DI-RevExpReport_Final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2026-10-23T00:00:47Z</dcterms:created>
  <dcterms:modified xsi:type="dcterms:W3CDTF">2026-10-23T00:00:47Z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