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20"/>
          <w:szCs w:val="20"/>
        </w:rPr>
        <w:t xml:space="preserve">Basis for the numbers below</w:t>
      </w:r>
    </w:p>
    <w:p>
      <w:pPr>
        <w:pStyle w:val="ListParagraph"/>
        <w:numPr>
          <w:ilvl w:val="0"/>
          <w:numId w:val="2"/>
        </w:numPr>
        <w:spacing w:after="40"/>
      </w:pPr>
      <w:r>
        <w:rPr>
          <w:rFonts w:ascii="Arial" w:cs="Arial" w:eastAsia="Arial" w:hAnsi="Arial"/>
          <w:sz w:val="20"/>
          <w:szCs w:val="20"/>
        </w:rPr>
        <w:t xml:space="preserve">The FY2025 figures (fiscal year ended June 30, 2025) are computed by us from the NCAA Membership Financial Reporting System (MFRS) reports of 52 of the 53 public Power Four athletic departments, the same filings behind the Knight-Newhouse database. 48 rows come from the College Sports Finance compilation of those filings, Indiana from its primary report, and Auburn, Florida and Rutgers from newspaper coverage of their filings. 13 of the rows were checked to the dollar against the school's own PDF or independent press. Georgia Tech's FY2025 report is not public. The full school-level table is in the appendix.</w:t>
      </w:r>
    </w:p>
    <w:p>
      <w:pPr>
        <w:pStyle w:val="ListParagraph"/>
        <w:numPr>
          <w:ilvl w:val="1"/>
          <w:numId w:val="2"/>
        </w:numPr>
        <w:spacing w:after="80"/>
      </w:pPr>
      <w:r>
        <w:rPr>
          <w:rFonts w:ascii="Arial" w:cs="Arial" w:eastAsia="Arial" w:hAnsi="Arial"/>
          <w:sz w:val="20"/>
          <w:szCs w:val="20"/>
        </w:rPr>
        <w:t xml:space="preserve">Source links: </w:t>
      </w:r>
      <w:hyperlink w:history="1" r:id="rIdusavl5fu77ydk47dxoluy">
        <w:r>
          <w:rPr>
            <w:rFonts w:ascii="Arial" w:cs="Arial" w:eastAsia="Arial" w:hAnsi="Arial"/>
            <w:sz w:val="20"/>
            <w:szCs w:val="20"/>
            <w:u w:val="single"/>
          </w:rPr>
          <w:t xml:space="preserve">College Sports Finance SEC</w:t>
        </w:r>
      </w:hyperlink>
      <w:r>
        <w:rPr>
          <w:rFonts w:ascii="Arial" w:cs="Arial" w:eastAsia="Arial" w:hAnsi="Arial"/>
          <w:sz w:val="20"/>
          <w:szCs w:val="20"/>
        </w:rPr>
        <w:t xml:space="preserve">; </w:t>
      </w:r>
      <w:hyperlink w:history="1" r:id="rIds27bvteleuwey4jimqh_o">
        <w:r>
          <w:rPr>
            <w:rFonts w:ascii="Arial" w:cs="Arial" w:eastAsia="Arial" w:hAnsi="Arial"/>
            <w:sz w:val="20"/>
            <w:szCs w:val="20"/>
            <w:u w:val="single"/>
          </w:rPr>
          <w:t xml:space="preserve">Big Ten</w:t>
        </w:r>
      </w:hyperlink>
      <w:r>
        <w:rPr>
          <w:rFonts w:ascii="Arial" w:cs="Arial" w:eastAsia="Arial" w:hAnsi="Arial"/>
          <w:sz w:val="20"/>
          <w:szCs w:val="20"/>
        </w:rPr>
        <w:t xml:space="preserve">; </w:t>
      </w:r>
      <w:hyperlink w:history="1" r:id="rIdpvwwktyrabbkgz9da8ogv">
        <w:r>
          <w:rPr>
            <w:rFonts w:ascii="Arial" w:cs="Arial" w:eastAsia="Arial" w:hAnsi="Arial"/>
            <w:sz w:val="20"/>
            <w:szCs w:val="20"/>
            <w:u w:val="single"/>
          </w:rPr>
          <w:t xml:space="preserve">Big 12</w:t>
        </w:r>
      </w:hyperlink>
      <w:r>
        <w:rPr>
          <w:rFonts w:ascii="Arial" w:cs="Arial" w:eastAsia="Arial" w:hAnsi="Arial"/>
          <w:sz w:val="20"/>
          <w:szCs w:val="20"/>
        </w:rPr>
        <w:t xml:space="preserve">; </w:t>
      </w:r>
      <w:hyperlink w:history="1" r:id="rIdsxf0puecxwd3fpc0-yksi">
        <w:r>
          <w:rPr>
            <w:rFonts w:ascii="Arial" w:cs="Arial" w:eastAsia="Arial" w:hAnsi="Arial"/>
            <w:sz w:val="20"/>
            <w:szCs w:val="20"/>
            <w:u w:val="single"/>
          </w:rPr>
          <w:t xml:space="preserve">ACC</w:t>
        </w:r>
      </w:hyperlink>
      <w:r>
        <w:rPr>
          <w:rFonts w:ascii="Arial" w:cs="Arial" w:eastAsia="Arial" w:hAnsi="Arial"/>
          <w:sz w:val="20"/>
          <w:szCs w:val="20"/>
        </w:rPr>
        <w:t xml:space="preserve">; </w:t>
      </w:r>
      <w:hyperlink w:history="1" r:id="rIdp_kdorsijm2j3vrkscpcp">
        <w:r>
          <w:rPr>
            <w:rFonts w:ascii="Arial" w:cs="Arial" w:eastAsia="Arial" w:hAnsi="Arial"/>
            <w:sz w:val="20"/>
            <w:szCs w:val="20"/>
            <w:u w:val="single"/>
          </w:rPr>
          <w:t xml:space="preserve">Utah FY25 NCAA report</w:t>
        </w:r>
      </w:hyperlink>
      <w:r>
        <w:rPr>
          <w:rFonts w:ascii="Arial" w:cs="Arial" w:eastAsia="Arial" w:hAnsi="Arial"/>
          <w:sz w:val="20"/>
          <w:szCs w:val="20"/>
        </w:rPr>
        <w:t xml:space="preserve">; </w:t>
      </w:r>
      <w:hyperlink w:history="1" r:id="rId8l5ixi0p4loka8pnzrqw8">
        <w:r>
          <w:rPr>
            <w:rFonts w:ascii="Arial" w:cs="Arial" w:eastAsia="Arial" w:hAnsi="Arial"/>
            <w:sz w:val="20"/>
            <w:szCs w:val="20"/>
            <w:u w:val="single"/>
          </w:rPr>
          <w:t xml:space="preserve">Tennessee FY25 NCAA report</w:t>
        </w:r>
      </w:hyperlink>
      <w:r>
        <w:rPr>
          <w:rFonts w:ascii="Arial" w:cs="Arial" w:eastAsia="Arial" w:hAnsi="Arial"/>
          <w:sz w:val="20"/>
          <w:szCs w:val="20"/>
        </w:rPr>
        <w:t xml:space="preserve">; </w:t>
      </w:r>
      <w:hyperlink w:history="1" r:id="rIdlik_bkdshnieq5i2rwnqk">
        <w:r>
          <w:rPr>
            <w:rFonts w:ascii="Arial" w:cs="Arial" w:eastAsia="Arial" w:hAnsi="Arial"/>
            <w:sz w:val="20"/>
            <w:szCs w:val="20"/>
            <w:u w:val="single"/>
          </w:rPr>
          <w:t xml:space="preserve">Indiana FY25 NCAA report</w:t>
        </w:r>
      </w:hyperlink>
    </w:p>
    <w:p>
      <w:pPr>
        <w:pStyle w:val="ListParagraph"/>
        <w:numPr>
          <w:ilvl w:val="0"/>
          <w:numId w:val="2"/>
        </w:numPr>
        <w:spacing w:after="40"/>
      </w:pPr>
      <w:r>
        <w:rPr>
          <w:rFonts w:ascii="Arial" w:cs="Arial" w:eastAsia="Arial" w:hAnsi="Arial"/>
          <w:sz w:val="20"/>
          <w:szCs w:val="20"/>
        </w:rPr>
        <w:t xml:space="preserve">The 15 private Power Four schools (Boston College, Duke, Miami, Notre Dame, SMU, Stanford, Syracuse, Wake Forest, Northwestern, USC, Baylor, BYU, TCU, Vanderbilt) plus Pittsburgh (exempt under Pennsylvania law) do not publish NCAA reports, so every FY2025 Power Four aggregate from any source is public schools only. The NCAA's own report, which covers all 69 autonomy schools including privates, runs only through FY2024 and is used as the full-sample benchmark.</w:t>
      </w:r>
    </w:p>
    <w:p>
      <w:pPr>
        <w:pStyle w:val="ListParagraph"/>
        <w:numPr>
          <w:ilvl w:val="1"/>
          <w:numId w:val="2"/>
        </w:numPr>
        <w:spacing w:after="80"/>
      </w:pPr>
      <w:r>
        <w:rPr>
          <w:rFonts w:ascii="Arial" w:cs="Arial" w:eastAsia="Arial" w:hAnsi="Arial"/>
          <w:sz w:val="20"/>
          <w:szCs w:val="20"/>
        </w:rPr>
        <w:t xml:space="preserve">Source links: </w:t>
      </w:r>
      <w:hyperlink w:history="1" r:id="rIdm8fsnaxideadrqt-vsvgn">
        <w:r>
          <w:rPr>
            <w:rFonts w:ascii="Arial" w:cs="Arial" w:eastAsia="Arial" w:hAnsi="Arial"/>
            <w:sz w:val="20"/>
            <w:szCs w:val="20"/>
            <w:u w:val="single"/>
          </w:rPr>
          <w:t xml:space="preserve">NCAA 10-year trends, Dec 2025</w:t>
        </w:r>
      </w:hyperlink>
      <w:r>
        <w:rPr>
          <w:rFonts w:ascii="Arial" w:cs="Arial" w:eastAsia="Arial" w:hAnsi="Arial"/>
          <w:sz w:val="20"/>
          <w:szCs w:val="20"/>
        </w:rPr>
        <w:t xml:space="preserve">; </w:t>
      </w:r>
      <w:hyperlink w:history="1" r:id="rId_buzac5tiqr9kntsx5rxz">
        <w:r>
          <w:rPr>
            <w:rFonts w:ascii="Arial" w:cs="Arial" w:eastAsia="Arial" w:hAnsi="Arial"/>
            <w:sz w:val="20"/>
            <w:szCs w:val="20"/>
            <w:u w:val="single"/>
          </w:rPr>
          <w:t xml:space="preserve">Knight-Newhouse FY2025 sheet</w:t>
        </w:r>
      </w:hyperlink>
    </w:p>
    <w:p>
      <w:pPr>
        <w:pStyle w:val="ListParagraph"/>
        <w:numPr>
          <w:ilvl w:val="0"/>
          <w:numId w:val="2"/>
        </w:numPr>
        <w:spacing w:after="40"/>
      </w:pPr>
      <w:r>
        <w:rPr>
          <w:rFonts w:ascii="Arial" w:cs="Arial" w:eastAsia="Arial" w:hAnsi="Arial"/>
          <w:sz w:val="20"/>
          <w:szCs w:val="20"/>
        </w:rPr>
        <w:t xml:space="preserve">Three definitions of "burn" are used in this market and they give very different answers. (1) Bottom line: all revenue, including university support and student fees, minus expenses. (2) NCAA "net generated revenue": revenue excluding university support, state money and student fees, minus expenses. Donations still count as revenue here. (3) Operating basis: also strips out donations and endowment income. The bullets say which one is being used.</w:t>
      </w:r>
    </w:p>
    <w:p>
      <w:pPr>
        <w:pStyle w:val="ListParagraph"/>
        <w:numPr>
          <w:ilvl w:val="1"/>
          <w:numId w:val="2"/>
        </w:numPr>
        <w:spacing w:after="80"/>
      </w:pPr>
      <w:r>
        <w:rPr>
          <w:rFonts w:ascii="Arial" w:cs="Arial" w:eastAsia="Arial" w:hAnsi="Arial"/>
          <w:sz w:val="20"/>
          <w:szCs w:val="20"/>
        </w:rPr>
        <w:t xml:space="preserve">Source link: </w:t>
      </w:r>
      <w:hyperlink w:history="1" r:id="rIdjztnn-k9l5lonm6beicjm">
        <w:r>
          <w:rPr>
            <w:rFonts w:ascii="Arial" w:cs="Arial" w:eastAsia="Arial" w:hAnsi="Arial"/>
            <w:sz w:val="20"/>
            <w:szCs w:val="20"/>
            <w:u w:val="single"/>
          </w:rPr>
          <w:t xml:space="preserve">NCAA definitions, Dec 2025, p. 4</w:t>
        </w:r>
      </w:hyperlink>
    </w:p>
    <w:p>
      <w:pPr>
        <w:pStyle w:val="ListParagraph"/>
        <w:numPr>
          <w:ilvl w:val="0"/>
          <w:numId w:val="2"/>
        </w:numPr>
        <w:spacing w:after="40"/>
      </w:pPr>
      <w:r>
        <w:rPr>
          <w:rFonts w:ascii="Arial" w:cs="Arial" w:eastAsia="Arial" w:hAnsi="Arial"/>
          <w:sz w:val="20"/>
          <w:szCs w:val="20"/>
        </w:rPr>
        <w:t xml:space="preserve">FY2025 is the last year before House settlement revenue sharing, which started July 1, 2025. Only $52.9M of early athlete revenue share shows up across all 110 public FBS schools in FY2025. FY2026 filings are not due until January 15, 2027.</w:t>
      </w:r>
    </w:p>
    <w:p>
      <w:pPr>
        <w:pStyle w:val="ListParagraph"/>
        <w:numPr>
          <w:ilvl w:val="1"/>
          <w:numId w:val="2"/>
        </w:numPr>
        <w:spacing w:after="80"/>
      </w:pPr>
      <w:r>
        <w:rPr>
          <w:rFonts w:ascii="Arial" w:cs="Arial" w:eastAsia="Arial" w:hAnsi="Arial"/>
          <w:sz w:val="20"/>
          <w:szCs w:val="20"/>
        </w:rPr>
        <w:t xml:space="preserve">Source links: </w:t>
      </w:r>
      <w:hyperlink w:history="1" r:id="rIdzn3b06nn7lcl3xpuj7nrh">
        <w:r>
          <w:rPr>
            <w:rFonts w:ascii="Arial" w:cs="Arial" w:eastAsia="Arial" w:hAnsi="Arial"/>
            <w:sz w:val="20"/>
            <w:szCs w:val="20"/>
            <w:u w:val="single"/>
          </w:rPr>
          <w:t xml:space="preserve">Knight-Newhouse FY2025 sheet</w:t>
        </w:r>
      </w:hyperlink>
      <w:r>
        <w:rPr>
          <w:rFonts w:ascii="Arial" w:cs="Arial" w:eastAsia="Arial" w:hAnsi="Arial"/>
          <w:sz w:val="20"/>
          <w:szCs w:val="20"/>
        </w:rPr>
        <w:t xml:space="preserve">; </w:t>
      </w:r>
      <w:hyperlink w:history="1" r:id="rIduyszpjlbgdrkh3tb3xojj">
        <w:r>
          <w:rPr>
            <w:rFonts w:ascii="Arial" w:cs="Arial" w:eastAsia="Arial" w:hAnsi="Arial"/>
            <w:sz w:val="20"/>
            <w:szCs w:val="20"/>
            <w:u w:val="single"/>
          </w:rPr>
          <w:t xml:space="preserve">Drake Group, Aug 2026</w:t>
        </w:r>
      </w:hyperlink>
    </w:p>
    <w:p>
      <w:pPr>
        <w:spacing w:after="80" w:before="240"/>
      </w:pPr>
      <w:r>
        <w:rPr>
          <w:rFonts w:ascii="Arial" w:cs="Arial" w:eastAsia="Arial" w:hAnsi="Arial"/>
          <w:b/>
          <w:bCs/>
          <w:sz w:val="20"/>
          <w:szCs w:val="20"/>
        </w:rPr>
        <w:t xml:space="preserve">On average, how much did Power 4 athletic departments burn last year (FY2025)?</w:t>
      </w:r>
    </w:p>
    <w:p>
      <w:pPr>
        <w:pStyle w:val="ListParagraph"/>
        <w:numPr>
          <w:ilvl w:val="0"/>
          <w:numId w:val="2"/>
        </w:numPr>
        <w:spacing w:after="40"/>
      </w:pPr>
      <w:r>
        <w:rPr>
          <w:rFonts w:ascii="Arial" w:cs="Arial" w:eastAsia="Arial" w:hAnsi="Arial"/>
          <w:sz w:val="20"/>
          <w:szCs w:val="20"/>
        </w:rPr>
        <w:t xml:space="preserve">On the reported bottom line, the typical public Power Four department roughly broke even. Median net result +$0.9M, mean −$0.8M, across 52 schools; 19 of 52 reported a deficit. That bottom line already includes an average of $16.0M (median $10.4M) per school of university support, state money and student fees.</w:t>
      </w:r>
    </w:p>
    <w:p>
      <w:pPr>
        <w:pStyle w:val="ListParagraph"/>
        <w:numPr>
          <w:ilvl w:val="1"/>
          <w:numId w:val="2"/>
        </w:numPr>
        <w:spacing w:after="80"/>
      </w:pPr>
      <w:r>
        <w:rPr>
          <w:rFonts w:ascii="Arial" w:cs="Arial" w:eastAsia="Arial" w:hAnsi="Arial"/>
          <w:sz w:val="20"/>
          <w:szCs w:val="20"/>
        </w:rPr>
        <w:t xml:space="preserve">Source link: </w:t>
      </w:r>
      <w:hyperlink w:history="1" r:id="rIdlvkjkgwo02-ett8lx2iqb">
        <w:r>
          <w:rPr>
            <w:rFonts w:ascii="Arial" w:cs="Arial" w:eastAsia="Arial" w:hAnsi="Arial"/>
            <w:sz w:val="20"/>
            <w:szCs w:val="20"/>
            <w:u w:val="single"/>
          </w:rPr>
          <w:t xml:space="preserve">Computed from 52 FY2025 MFRS reports (appendix)</w:t>
        </w:r>
      </w:hyperlink>
    </w:p>
    <w:p>
      <w:pPr>
        <w:pStyle w:val="ListParagraph"/>
        <w:numPr>
          <w:ilvl w:val="0"/>
          <w:numId w:val="2"/>
        </w:numPr>
        <w:spacing w:after="40"/>
      </w:pPr>
      <w:r>
        <w:rPr>
          <w:rFonts w:ascii="Arial" w:cs="Arial" w:eastAsia="Arial" w:hAnsi="Arial"/>
          <w:sz w:val="20"/>
          <w:szCs w:val="20"/>
        </w:rPr>
        <w:t xml:space="preserve">Strip out that support and the picture flips. On the NCAA's net generated revenue basis, the median public Power Four department burned $10.6M and the mean burned $17.2M in FY2025; 36 of 50 were in the red. Knight-Newhouse, using the same filings for 53 schools, found only 14 covered their expenses without university support or student fees; 20 more were profitable only because of that support; the other 19 lost money outright.</w:t>
      </w:r>
    </w:p>
    <w:p>
      <w:pPr>
        <w:pStyle w:val="ListParagraph"/>
        <w:numPr>
          <w:ilvl w:val="1"/>
          <w:numId w:val="2"/>
        </w:numPr>
        <w:spacing w:after="80"/>
      </w:pPr>
      <w:r>
        <w:rPr>
          <w:rFonts w:ascii="Arial" w:cs="Arial" w:eastAsia="Arial" w:hAnsi="Arial"/>
          <w:sz w:val="20"/>
          <w:szCs w:val="20"/>
        </w:rPr>
        <w:t xml:space="preserve">Source links: </w:t>
      </w:r>
      <w:hyperlink w:history="1" r:id="rIdmsw2i2uizu_hferr8yzhk">
        <w:r>
          <w:rPr>
            <w:rFonts w:ascii="Arial" w:cs="Arial" w:eastAsia="Arial" w:hAnsi="Arial"/>
            <w:sz w:val="20"/>
            <w:szCs w:val="20"/>
            <w:u w:val="single"/>
          </w:rPr>
          <w:t xml:space="preserve">Computed from FY2025 MFRS reports (appendix)</w:t>
        </w:r>
      </w:hyperlink>
      <w:r>
        <w:rPr>
          <w:rFonts w:ascii="Arial" w:cs="Arial" w:eastAsia="Arial" w:hAnsi="Arial"/>
          <w:sz w:val="20"/>
          <w:szCs w:val="20"/>
        </w:rPr>
        <w:t xml:space="preserve">; </w:t>
      </w:r>
      <w:hyperlink w:history="1" r:id="rIdbcko8y2h5bn5wx-ifepvl">
        <w:r>
          <w:rPr>
            <w:rFonts w:ascii="Arial" w:cs="Arial" w:eastAsia="Arial" w:hAnsi="Arial"/>
            <w:sz w:val="20"/>
            <w:szCs w:val="20"/>
            <w:u w:val="single"/>
          </w:rPr>
          <w:t xml:space="preserve">Sen. Cantwell report, Sept 2026</w:t>
        </w:r>
      </w:hyperlink>
      <w:r>
        <w:rPr>
          <w:rFonts w:ascii="Arial" w:cs="Arial" w:eastAsia="Arial" w:hAnsi="Arial"/>
          <w:sz w:val="20"/>
          <w:szCs w:val="20"/>
        </w:rPr>
        <w:t xml:space="preserve">; </w:t>
      </w:r>
      <w:hyperlink w:history="1" r:id="rIdejukokof6kco6x_5e8ubu">
        <w:r>
          <w:rPr>
            <w:rFonts w:ascii="Arial" w:cs="Arial" w:eastAsia="Arial" w:hAnsi="Arial"/>
            <w:sz w:val="20"/>
            <w:szCs w:val="20"/>
            <w:u w:val="single"/>
          </w:rPr>
          <w:t xml:space="preserve">Cardinal News, Sept 2026</w:t>
        </w:r>
      </w:hyperlink>
    </w:p>
    <w:p>
      <w:pPr>
        <w:pStyle w:val="ListParagraph"/>
        <w:numPr>
          <w:ilvl w:val="0"/>
          <w:numId w:val="2"/>
        </w:numPr>
        <w:spacing w:after="40"/>
      </w:pPr>
      <w:r>
        <w:rPr>
          <w:rFonts w:ascii="Arial" w:cs="Arial" w:eastAsia="Arial" w:hAnsi="Arial"/>
          <w:sz w:val="20"/>
          <w:szCs w:val="20"/>
        </w:rPr>
        <w:t xml:space="preserve">Strip out donations as well and the average operating loss is about $63M per school. On that basis (operating revenue only, before contributions, endowment income, university support and fees) the Power Four averaged a $62.9M loss in FY2025: SEC −$78.1M, ACC −$71.6M, Big 12 −$57.4M, Big Ten −$48.2M. Donations ($44.4M average), university support and fees ($14.8M) and endowment income ($3.9M) filled the hole.</w:t>
      </w:r>
    </w:p>
    <w:p>
      <w:pPr>
        <w:pStyle w:val="ListParagraph"/>
        <w:numPr>
          <w:ilvl w:val="1"/>
          <w:numId w:val="2"/>
        </w:numPr>
        <w:spacing w:after="80"/>
      </w:pPr>
      <w:r>
        <w:rPr>
          <w:rFonts w:ascii="Arial" w:cs="Arial" w:eastAsia="Arial" w:hAnsi="Arial"/>
          <w:sz w:val="20"/>
          <w:szCs w:val="20"/>
        </w:rPr>
        <w:t xml:space="preserve">Source links: </w:t>
      </w:r>
      <w:hyperlink w:history="1" r:id="rIdqg0sa4n0qop4wq4mlq_tl">
        <w:r>
          <w:rPr>
            <w:rFonts w:ascii="Arial" w:cs="Arial" w:eastAsia="Arial" w:hAnsi="Arial"/>
            <w:sz w:val="20"/>
            <w:szCs w:val="20"/>
            <w:u w:val="single"/>
          </w:rPr>
          <w:t xml:space="preserve">nil-ncaa.com FY2025 tables</w:t>
        </w:r>
      </w:hyperlink>
      <w:r>
        <w:rPr>
          <w:rFonts w:ascii="Arial" w:cs="Arial" w:eastAsia="Arial" w:hAnsi="Arial"/>
          <w:sz w:val="20"/>
          <w:szCs w:val="20"/>
        </w:rPr>
        <w:t xml:space="preserve">; </w:t>
      </w:r>
      <w:hyperlink w:history="1" r:id="rIdxw-tov9qclt0jm0mzu-nl">
        <w:r>
          <w:rPr>
            <w:rFonts w:ascii="Arial" w:cs="Arial" w:eastAsia="Arial" w:hAnsi="Arial"/>
            <w:sz w:val="20"/>
            <w:szCs w:val="20"/>
            <w:u w:val="single"/>
          </w:rPr>
          <w:t xml:space="preserve">Drake Group appendix to Congress, Aug 2026</w:t>
        </w:r>
      </w:hyperlink>
    </w:p>
    <w:p>
      <w:pPr>
        <w:pStyle w:val="ListParagraph"/>
        <w:numPr>
          <w:ilvl w:val="0"/>
          <w:numId w:val="2"/>
        </w:numPr>
        <w:spacing w:after="40"/>
      </w:pPr>
      <w:r>
        <w:rPr>
          <w:rFonts w:ascii="Arial" w:cs="Arial" w:eastAsia="Arial" w:hAnsi="Arial"/>
          <w:sz w:val="20"/>
          <w:szCs w:val="20"/>
        </w:rPr>
        <w:t xml:space="preserve">The full-sample NCAA benchmark (all 69 autonomy schools including privates, FY2024): median net generated revenue −$15.2M, worse by $6.5M than the year before; range −$90.5M to +$43.8M. GAO, on the same data: 49 of 69 Power schools spent more than they generated, and the median gap grew from $2.7M to $15.2M over ten years.</w:t>
      </w:r>
    </w:p>
    <w:p>
      <w:pPr>
        <w:pStyle w:val="ListParagraph"/>
        <w:numPr>
          <w:ilvl w:val="1"/>
          <w:numId w:val="2"/>
        </w:numPr>
        <w:spacing w:after="80"/>
      </w:pPr>
      <w:r>
        <w:rPr>
          <w:rFonts w:ascii="Arial" w:cs="Arial" w:eastAsia="Arial" w:hAnsi="Arial"/>
          <w:sz w:val="20"/>
          <w:szCs w:val="20"/>
        </w:rPr>
        <w:t xml:space="preserve">Source links: </w:t>
      </w:r>
      <w:hyperlink w:history="1" r:id="rIdichgoe8-47x7hffkxm8js">
        <w:r>
          <w:rPr>
            <w:rFonts w:ascii="Arial" w:cs="Arial" w:eastAsia="Arial" w:hAnsi="Arial"/>
            <w:sz w:val="20"/>
            <w:szCs w:val="20"/>
            <w:u w:val="single"/>
          </w:rPr>
          <w:t xml:space="preserve">NCAA 10-year trends, Dec 2025, pp. 7 and 36</w:t>
        </w:r>
      </w:hyperlink>
      <w:r>
        <w:rPr>
          <w:rFonts w:ascii="Arial" w:cs="Arial" w:eastAsia="Arial" w:hAnsi="Arial"/>
          <w:sz w:val="20"/>
          <w:szCs w:val="20"/>
        </w:rPr>
        <w:t xml:space="preserve">; </w:t>
      </w:r>
      <w:hyperlink w:history="1" r:id="rIdybaoa7rkcvvq_ckc5s_we">
        <w:r>
          <w:rPr>
            <w:rFonts w:ascii="Arial" w:cs="Arial" w:eastAsia="Arial" w:hAnsi="Arial"/>
            <w:sz w:val="20"/>
            <w:szCs w:val="20"/>
            <w:u w:val="single"/>
          </w:rPr>
          <w:t xml:space="preserve">GAO-26-108640, July 2026</w:t>
        </w:r>
      </w:hyperlink>
    </w:p>
    <w:p>
      <w:pPr>
        <w:pStyle w:val="ListParagraph"/>
        <w:numPr>
          <w:ilvl w:val="0"/>
          <w:numId w:val="2"/>
        </w:numPr>
        <w:spacing w:after="40"/>
      </w:pPr>
      <w:r>
        <w:rPr>
          <w:rFonts w:ascii="Arial" w:cs="Arial" w:eastAsia="Arial" w:hAnsi="Arial"/>
          <w:sz w:val="20"/>
          <w:szCs w:val="20"/>
        </w:rPr>
        <w:t xml:space="preserve">By conference, FY2025 (median bottom line / median net generated): SEC +$1.3M / −$3.7M (15 schools); Big Ten +$2.4M / −$6.1M (16); Big 12 +$0.2M / −$13.9M (13); ACC −$3.0M / −$22.9M (8). The ACC and Big 12 lean hardest on campus money: median allocated support $22.1M and $14.8M per school versus $9.1M in the Big Ten and $3.9M in the SEC.</w:t>
      </w:r>
    </w:p>
    <w:p>
      <w:pPr>
        <w:pStyle w:val="ListParagraph"/>
        <w:numPr>
          <w:ilvl w:val="1"/>
          <w:numId w:val="2"/>
        </w:numPr>
        <w:spacing w:after="80"/>
      </w:pPr>
      <w:r>
        <w:rPr>
          <w:rFonts w:ascii="Arial" w:cs="Arial" w:eastAsia="Arial" w:hAnsi="Arial"/>
          <w:sz w:val="20"/>
          <w:szCs w:val="20"/>
        </w:rPr>
        <w:t xml:space="preserve">Source link: </w:t>
      </w:r>
      <w:hyperlink w:history="1" r:id="rId2m4lsgvqtdkez1vvq0ylf">
        <w:r>
          <w:rPr>
            <w:rFonts w:ascii="Arial" w:cs="Arial" w:eastAsia="Arial" w:hAnsi="Arial"/>
            <w:sz w:val="20"/>
            <w:szCs w:val="20"/>
            <w:u w:val="single"/>
          </w:rPr>
          <w:t xml:space="preserve">Computed from FY2025 MFRS reports (appendix)</w:t>
        </w:r>
      </w:hyperlink>
    </w:p>
    <w:p>
      <w:pPr>
        <w:pStyle w:val="ListParagraph"/>
        <w:numPr>
          <w:ilvl w:val="0"/>
          <w:numId w:val="2"/>
        </w:numPr>
        <w:spacing w:after="40"/>
      </w:pPr>
      <w:r>
        <w:rPr>
          <w:rFonts w:ascii="Arial" w:cs="Arial" w:eastAsia="Arial" w:hAnsi="Arial"/>
          <w:sz w:val="20"/>
          <w:szCs w:val="20"/>
        </w:rPr>
        <w:t xml:space="preserve">Nine public schools report zero allocated support (Texas, Penn State, LSU, Nebraska, Oklahoma, Arkansas, Mississippi State, Purdue, Kansas State). The biggest subsidies are Arizona State $59.7M, Cincinnati $51.7M, South Carolina $43.7M, Colorado $43.5M, Cal $43.1M, Florida State $42.5M and Houston $41.2M.</w:t>
      </w:r>
    </w:p>
    <w:p>
      <w:pPr>
        <w:pStyle w:val="ListParagraph"/>
        <w:numPr>
          <w:ilvl w:val="1"/>
          <w:numId w:val="2"/>
        </w:numPr>
        <w:spacing w:after="80"/>
      </w:pPr>
      <w:r>
        <w:rPr>
          <w:rFonts w:ascii="Arial" w:cs="Arial" w:eastAsia="Arial" w:hAnsi="Arial"/>
          <w:sz w:val="20"/>
          <w:szCs w:val="20"/>
        </w:rPr>
        <w:t xml:space="preserve">Source links: </w:t>
      </w:r>
      <w:hyperlink w:history="1" r:id="rId0irlliitrsrln402awd9c">
        <w:r>
          <w:rPr>
            <w:rFonts w:ascii="Arial" w:cs="Arial" w:eastAsia="Arial" w:hAnsi="Arial"/>
            <w:sz w:val="20"/>
            <w:szCs w:val="20"/>
            <w:u w:val="single"/>
          </w:rPr>
          <w:t xml:space="preserve">Computed from FY2025 MFRS reports (appendix)</w:t>
        </w:r>
      </w:hyperlink>
      <w:r>
        <w:rPr>
          <w:rFonts w:ascii="Arial" w:cs="Arial" w:eastAsia="Arial" w:hAnsi="Arial"/>
          <w:sz w:val="20"/>
          <w:szCs w:val="20"/>
        </w:rPr>
        <w:t xml:space="preserve">; </w:t>
      </w:r>
      <w:hyperlink w:history="1" r:id="rIdo94d5ondr5v6pdos8yuwb">
        <w:r>
          <w:rPr>
            <w:rFonts w:ascii="Arial" w:cs="Arial" w:eastAsia="Arial" w:hAnsi="Arial"/>
            <w:sz w:val="20"/>
            <w:szCs w:val="20"/>
            <w:u w:val="single"/>
          </w:rPr>
          <w:t xml:space="preserve">Sen. Cantwell report appendix, Sept 2026</w:t>
        </w:r>
      </w:hyperlink>
    </w:p>
    <w:p>
      <w:pPr>
        <w:pStyle w:val="ListParagraph"/>
        <w:numPr>
          <w:ilvl w:val="0"/>
          <w:numId w:val="2"/>
        </w:numPr>
        <w:spacing w:after="40"/>
      </w:pPr>
      <w:r>
        <w:rPr>
          <w:rFonts w:ascii="Arial" w:cs="Arial" w:eastAsia="Arial" w:hAnsi="Arial"/>
          <w:sz w:val="20"/>
          <w:szCs w:val="20"/>
        </w:rPr>
        <w:t xml:space="preserve">Largest FY2025 bottom-line deficits: Rutgers −$47.2M on the ledger (−$78M before $30.8M of university, state and fee support, a record), Oklahoma −$43.7M (first SEC year on a partial $12.5M distribution), Cal −$24.3M, Texas −$23.3M, UCLA −$21.6M (only because the university put in $31.1M), North Carolina −$15.0M. Largest surpluses: Alabama +$32.7M, Florida +$20.0M, Tennessee +$15.9M, Ohio State +$15.7M, Michigan +$14.3M.</w:t>
      </w:r>
    </w:p>
    <w:p>
      <w:pPr>
        <w:pStyle w:val="ListParagraph"/>
        <w:numPr>
          <w:ilvl w:val="1"/>
          <w:numId w:val="2"/>
        </w:numPr>
        <w:spacing w:after="80"/>
      </w:pPr>
      <w:r>
        <w:rPr>
          <w:rFonts w:ascii="Arial" w:cs="Arial" w:eastAsia="Arial" w:hAnsi="Arial"/>
          <w:sz w:val="20"/>
          <w:szCs w:val="20"/>
        </w:rPr>
        <w:t xml:space="preserve">Source links: </w:t>
      </w:r>
      <w:hyperlink w:history="1" r:id="rIdmnhrnrlrw_64kbrq7j0sz">
        <w:r>
          <w:rPr>
            <w:rFonts w:ascii="Arial" w:cs="Arial" w:eastAsia="Arial" w:hAnsi="Arial"/>
            <w:sz w:val="20"/>
            <w:szCs w:val="20"/>
            <w:u w:val="single"/>
          </w:rPr>
          <w:t xml:space="preserve">NJ.com, Jan 2026</w:t>
        </w:r>
      </w:hyperlink>
      <w:r>
        <w:rPr>
          <w:rFonts w:ascii="Arial" w:cs="Arial" w:eastAsia="Arial" w:hAnsi="Arial"/>
          <w:sz w:val="20"/>
          <w:szCs w:val="20"/>
        </w:rPr>
        <w:t xml:space="preserve">; </w:t>
      </w:r>
      <w:hyperlink w:history="1" r:id="rIdipigkdzqa8qekcukgfhqt">
        <w:r>
          <w:rPr>
            <w:rFonts w:ascii="Arial" w:cs="Arial" w:eastAsia="Arial" w:hAnsi="Arial"/>
            <w:sz w:val="20"/>
            <w:szCs w:val="20"/>
            <w:u w:val="single"/>
          </w:rPr>
          <w:t xml:space="preserve">247Sports on Oklahoma, Jan 2026</w:t>
        </w:r>
      </w:hyperlink>
      <w:r>
        <w:rPr>
          <w:rFonts w:ascii="Arial" w:cs="Arial" w:eastAsia="Arial" w:hAnsi="Arial"/>
          <w:sz w:val="20"/>
          <w:szCs w:val="20"/>
        </w:rPr>
        <w:t xml:space="preserve">; </w:t>
      </w:r>
      <w:hyperlink w:history="1" r:id="rIdqopkwrn-m97rsmp9wxrky">
        <w:r>
          <w:rPr>
            <w:rFonts w:ascii="Arial" w:cs="Arial" w:eastAsia="Arial" w:hAnsi="Arial"/>
            <w:sz w:val="20"/>
            <w:szCs w:val="20"/>
            <w:u w:val="single"/>
          </w:rPr>
          <w:t xml:space="preserve">CBS Sports on UCLA, Sept 2026</w:t>
        </w:r>
      </w:hyperlink>
      <w:r>
        <w:rPr>
          <w:rFonts w:ascii="Arial" w:cs="Arial" w:eastAsia="Arial" w:hAnsi="Arial"/>
          <w:sz w:val="20"/>
          <w:szCs w:val="20"/>
        </w:rPr>
        <w:t xml:space="preserve">; </w:t>
      </w:r>
      <w:hyperlink w:history="1" r:id="rIdar6h63_lyayacapipskwl">
        <w:r>
          <w:rPr>
            <w:rFonts w:ascii="Arial" w:cs="Arial" w:eastAsia="Arial" w:hAnsi="Arial"/>
            <w:sz w:val="20"/>
            <w:szCs w:val="20"/>
            <w:u w:val="single"/>
          </w:rPr>
          <w:t xml:space="preserve">AL.com SEC roundup, Apr 2026</w:t>
        </w:r>
      </w:hyperlink>
    </w:p>
    <w:p>
      <w:pPr>
        <w:pStyle w:val="ListParagraph"/>
        <w:numPr>
          <w:ilvl w:val="0"/>
          <w:numId w:val="2"/>
        </w:numPr>
        <w:spacing w:after="40"/>
      </w:pPr>
      <w:r>
        <w:rPr>
          <w:rFonts w:ascii="Arial" w:cs="Arial" w:eastAsia="Arial" w:hAnsi="Arial"/>
          <w:sz w:val="20"/>
          <w:szCs w:val="20"/>
        </w:rPr>
        <w:t xml:space="preserve">FY2026 will be worse because the $20.5M revenue share plus roughly $6M of added scholarships lands on these same budgets. Early reported FY2026 results and budgets: LSU −$44M actual (−$26M projected FY2027), Colorado −$27M, Washington −$19M cash flow covered with loans, Kansas −$15.8M actual, Louisville −$12.5M, Minnesota −$9M, and Michigan balanced only after $15M from the university. The Drake Group's accountant expects "many" Power schools to show operating losses above $100M for FY2026.</w:t>
      </w:r>
    </w:p>
    <w:p>
      <w:pPr>
        <w:pStyle w:val="ListParagraph"/>
        <w:numPr>
          <w:ilvl w:val="1"/>
          <w:numId w:val="2"/>
        </w:numPr>
        <w:spacing w:after="80"/>
      </w:pPr>
      <w:r>
        <w:rPr>
          <w:rFonts w:ascii="Arial" w:cs="Arial" w:eastAsia="Arial" w:hAnsi="Arial"/>
          <w:sz w:val="20"/>
          <w:szCs w:val="20"/>
        </w:rPr>
        <w:t xml:space="preserve">Source links: </w:t>
      </w:r>
      <w:hyperlink w:history="1" r:id="rId-vnapomrjkragaozbjywd">
        <w:r>
          <w:rPr>
            <w:rFonts w:ascii="Arial" w:cs="Arial" w:eastAsia="Arial" w:hAnsi="Arial"/>
            <w:sz w:val="20"/>
            <w:szCs w:val="20"/>
            <w:u w:val="single"/>
          </w:rPr>
          <w:t xml:space="preserve">FootballScoop on LSU, Sept 2026</w:t>
        </w:r>
      </w:hyperlink>
      <w:r>
        <w:rPr>
          <w:rFonts w:ascii="Arial" w:cs="Arial" w:eastAsia="Arial" w:hAnsi="Arial"/>
          <w:sz w:val="20"/>
          <w:szCs w:val="20"/>
        </w:rPr>
        <w:t xml:space="preserve">; </w:t>
      </w:r>
      <w:hyperlink w:history="1" r:id="rIdibwg0yao052rlknlm4jua">
        <w:r>
          <w:rPr>
            <w:rFonts w:ascii="Arial" w:cs="Arial" w:eastAsia="Arial" w:hAnsi="Arial"/>
            <w:sz w:val="20"/>
            <w:szCs w:val="20"/>
            <w:u w:val="single"/>
          </w:rPr>
          <w:t xml:space="preserve">USA Today on Colorado</w:t>
        </w:r>
      </w:hyperlink>
      <w:r>
        <w:rPr>
          <w:rFonts w:ascii="Arial" w:cs="Arial" w:eastAsia="Arial" w:hAnsi="Arial"/>
          <w:sz w:val="20"/>
          <w:szCs w:val="20"/>
        </w:rPr>
        <w:t xml:space="preserve">; </w:t>
      </w:r>
      <w:hyperlink w:history="1" r:id="rIdvdaosrxjzaerbkhijr1me">
        <w:r>
          <w:rPr>
            <w:rFonts w:ascii="Arial" w:cs="Arial" w:eastAsia="Arial" w:hAnsi="Arial"/>
            <w:sz w:val="20"/>
            <w:szCs w:val="20"/>
            <w:u w:val="single"/>
          </w:rPr>
          <w:t xml:space="preserve">Seattle Times on Washington, June 2025</w:t>
        </w:r>
      </w:hyperlink>
      <w:r>
        <w:rPr>
          <w:rFonts w:ascii="Arial" w:cs="Arial" w:eastAsia="Arial" w:hAnsi="Arial"/>
          <w:sz w:val="20"/>
          <w:szCs w:val="20"/>
        </w:rPr>
        <w:t xml:space="preserve">; </w:t>
      </w:r>
      <w:hyperlink w:history="1" r:id="rIdl4jf7a4uymk4p5nprv7wj">
        <w:r>
          <w:rPr>
            <w:rFonts w:ascii="Arial" w:cs="Arial" w:eastAsia="Arial" w:hAnsi="Arial"/>
            <w:sz w:val="20"/>
            <w:szCs w:val="20"/>
            <w:u w:val="single"/>
          </w:rPr>
          <w:t xml:space="preserve">Kansas City Star, Aug 2026</w:t>
        </w:r>
      </w:hyperlink>
      <w:r>
        <w:rPr>
          <w:rFonts w:ascii="Arial" w:cs="Arial" w:eastAsia="Arial" w:hAnsi="Arial"/>
          <w:sz w:val="20"/>
          <w:szCs w:val="20"/>
        </w:rPr>
        <w:t xml:space="preserve">; </w:t>
      </w:r>
      <w:hyperlink w:history="1" r:id="rId8nexh6ikfxbbjcztywtdj">
        <w:r>
          <w:rPr>
            <w:rFonts w:ascii="Arial" w:cs="Arial" w:eastAsia="Arial" w:hAnsi="Arial"/>
            <w:sz w:val="20"/>
            <w:szCs w:val="20"/>
            <w:u w:val="single"/>
          </w:rPr>
          <w:t xml:space="preserve">WDRB on Louisville</w:t>
        </w:r>
      </w:hyperlink>
      <w:r>
        <w:rPr>
          <w:rFonts w:ascii="Arial" w:cs="Arial" w:eastAsia="Arial" w:hAnsi="Arial"/>
          <w:sz w:val="20"/>
          <w:szCs w:val="20"/>
        </w:rPr>
        <w:t xml:space="preserve">; </w:t>
      </w:r>
      <w:hyperlink w:history="1" r:id="rIdoespt41rxwhjn1ymfag2h">
        <w:r>
          <w:rPr>
            <w:rFonts w:ascii="Arial" w:cs="Arial" w:eastAsia="Arial" w:hAnsi="Arial"/>
            <w:sz w:val="20"/>
            <w:szCs w:val="20"/>
            <w:u w:val="single"/>
          </w:rPr>
          <w:t xml:space="preserve">Star Tribune on Minnesota</w:t>
        </w:r>
      </w:hyperlink>
      <w:r>
        <w:rPr>
          <w:rFonts w:ascii="Arial" w:cs="Arial" w:eastAsia="Arial" w:hAnsi="Arial"/>
          <w:sz w:val="20"/>
          <w:szCs w:val="20"/>
        </w:rPr>
        <w:t xml:space="preserve">; </w:t>
      </w:r>
      <w:hyperlink w:history="1" r:id="rId3st8lxncib9vkiyni0-fq">
        <w:r>
          <w:rPr>
            <w:rFonts w:ascii="Arial" w:cs="Arial" w:eastAsia="Arial" w:hAnsi="Arial"/>
            <w:sz w:val="20"/>
            <w:szCs w:val="20"/>
            <w:u w:val="single"/>
          </w:rPr>
          <w:t xml:space="preserve">MGoBlue, June 2025</w:t>
        </w:r>
      </w:hyperlink>
      <w:r>
        <w:rPr>
          <w:rFonts w:ascii="Arial" w:cs="Arial" w:eastAsia="Arial" w:hAnsi="Arial"/>
          <w:sz w:val="20"/>
          <w:szCs w:val="20"/>
        </w:rPr>
        <w:t xml:space="preserve">; </w:t>
      </w:r>
      <w:hyperlink w:history="1" r:id="rId9v-sncjvdodsjyvdcochf">
        <w:r>
          <w:rPr>
            <w:rFonts w:ascii="Arial" w:cs="Arial" w:eastAsia="Arial" w:hAnsi="Arial"/>
            <w:sz w:val="20"/>
            <w:szCs w:val="20"/>
            <w:u w:val="single"/>
          </w:rPr>
          <w:t xml:space="preserve">Drake Group, Aug 2026</w:t>
        </w:r>
      </w:hyperlink>
    </w:p>
    <w:p>
      <w:pPr>
        <w:spacing w:after="80" w:before="240"/>
      </w:pPr>
      <w:r>
        <w:rPr>
          <w:rFonts w:ascii="Arial" w:cs="Arial" w:eastAsia="Arial" w:hAnsi="Arial"/>
          <w:b/>
          <w:bCs/>
          <w:sz w:val="20"/>
          <w:szCs w:val="20"/>
        </w:rPr>
        <w:t xml:space="preserve">On average, what percentage of Power 4 athletic department revenue is donations?</w:t>
      </w:r>
    </w:p>
    <w:p>
      <w:pPr>
        <w:pStyle w:val="ListParagraph"/>
        <w:numPr>
          <w:ilvl w:val="0"/>
          <w:numId w:val="2"/>
        </w:numPr>
        <w:spacing w:after="40"/>
      </w:pPr>
      <w:r>
        <w:rPr>
          <w:rFonts w:ascii="Arial" w:cs="Arial" w:eastAsia="Arial" w:hAnsi="Arial"/>
          <w:sz w:val="20"/>
          <w:szCs w:val="20"/>
        </w:rPr>
        <w:t xml:space="preserve">Roughly a quarter. Across the 52 public Power Four departments in FY2025, cash contributions were 23.0% of total revenue on average and 22.5% at the median; in aggregate, $2.27B of $9.55B, or 23.7%. The average department took in $43.6M of contributions (median $39.2M).</w:t>
      </w:r>
    </w:p>
    <w:p>
      <w:pPr>
        <w:pStyle w:val="ListParagraph"/>
        <w:numPr>
          <w:ilvl w:val="1"/>
          <w:numId w:val="2"/>
        </w:numPr>
        <w:spacing w:after="80"/>
      </w:pPr>
      <w:r>
        <w:rPr>
          <w:rFonts w:ascii="Arial" w:cs="Arial" w:eastAsia="Arial" w:hAnsi="Arial"/>
          <w:sz w:val="20"/>
          <w:szCs w:val="20"/>
        </w:rPr>
        <w:t xml:space="preserve">Source link: </w:t>
      </w:r>
      <w:hyperlink w:history="1" r:id="rId12o9jgswllscla0ogzwge">
        <w:r>
          <w:rPr>
            <w:rFonts w:ascii="Arial" w:cs="Arial" w:eastAsia="Arial" w:hAnsi="Arial"/>
            <w:sz w:val="20"/>
            <w:szCs w:val="20"/>
            <w:u w:val="single"/>
          </w:rPr>
          <w:t xml:space="preserve">Computed from FY2025 MFRS reports (appendix)</w:t>
        </w:r>
      </w:hyperlink>
    </w:p>
    <w:p>
      <w:pPr>
        <w:pStyle w:val="ListParagraph"/>
        <w:numPr>
          <w:ilvl w:val="0"/>
          <w:numId w:val="2"/>
        </w:numPr>
        <w:spacing w:after="40"/>
      </w:pPr>
      <w:r>
        <w:rPr>
          <w:rFonts w:ascii="Arial" w:cs="Arial" w:eastAsia="Arial" w:hAnsi="Arial"/>
          <w:sz w:val="20"/>
          <w:szCs w:val="20"/>
        </w:rPr>
        <w:t xml:space="preserve">The NCAA's full-sample figure (all 69 autonomy schools, FY2024) is 26% of total revenue for "donor contributions and endowments," the second-largest source after media rights and conference distributions at 31%, ahead of ticket sales at 17%. The NCAA figure includes endowment income; ours does not, which explains most of the gap.</w:t>
      </w:r>
    </w:p>
    <w:p>
      <w:pPr>
        <w:pStyle w:val="ListParagraph"/>
        <w:numPr>
          <w:ilvl w:val="1"/>
          <w:numId w:val="2"/>
        </w:numPr>
        <w:spacing w:after="80"/>
      </w:pPr>
      <w:r>
        <w:rPr>
          <w:rFonts w:ascii="Arial" w:cs="Arial" w:eastAsia="Arial" w:hAnsi="Arial"/>
          <w:sz w:val="20"/>
          <w:szCs w:val="20"/>
        </w:rPr>
        <w:t xml:space="preserve">Source link: </w:t>
      </w:r>
      <w:hyperlink w:history="1" r:id="rId-d2-pkg7z-5chv6c87x6b">
        <w:r>
          <w:rPr>
            <w:rFonts w:ascii="Arial" w:cs="Arial" w:eastAsia="Arial" w:hAnsi="Arial"/>
            <w:sz w:val="20"/>
            <w:szCs w:val="20"/>
            <w:u w:val="single"/>
          </w:rPr>
          <w:t xml:space="preserve">NCAA 10-year trends, Dec 2025, p. 16</w:t>
        </w:r>
      </w:hyperlink>
    </w:p>
    <w:p>
      <w:pPr>
        <w:pStyle w:val="ListParagraph"/>
        <w:numPr>
          <w:ilvl w:val="0"/>
          <w:numId w:val="2"/>
        </w:numPr>
        <w:spacing w:after="40"/>
      </w:pPr>
      <w:r>
        <w:rPr>
          <w:rFonts w:ascii="Arial" w:cs="Arial" w:eastAsia="Arial" w:hAnsi="Arial"/>
          <w:sz w:val="20"/>
          <w:szCs w:val="20"/>
        </w:rPr>
        <w:t xml:space="preserve">GAO, on the same FY2024 data: the median Power school received $30.8M in athletics donations and the top 20% received $56.9M or more. Knight-Newhouse's FY2025 Big Ten public median is $34.1M.</w:t>
      </w:r>
    </w:p>
    <w:p>
      <w:pPr>
        <w:pStyle w:val="ListParagraph"/>
        <w:numPr>
          <w:ilvl w:val="1"/>
          <w:numId w:val="2"/>
        </w:numPr>
        <w:spacing w:after="80"/>
      </w:pPr>
      <w:r>
        <w:rPr>
          <w:rFonts w:ascii="Arial" w:cs="Arial" w:eastAsia="Arial" w:hAnsi="Arial"/>
          <w:sz w:val="20"/>
          <w:szCs w:val="20"/>
        </w:rPr>
        <w:t xml:space="preserve">Source links: </w:t>
      </w:r>
      <w:hyperlink w:history="1" r:id="rIdp_fwt1ug3uluhhn8l2btn">
        <w:r>
          <w:rPr>
            <w:rFonts w:ascii="Arial" w:cs="Arial" w:eastAsia="Arial" w:hAnsi="Arial"/>
            <w:sz w:val="20"/>
            <w:szCs w:val="20"/>
            <w:u w:val="single"/>
          </w:rPr>
          <w:t xml:space="preserve">GAO-26-108640, July 2026</w:t>
        </w:r>
      </w:hyperlink>
      <w:r>
        <w:rPr>
          <w:rFonts w:ascii="Arial" w:cs="Arial" w:eastAsia="Arial" w:hAnsi="Arial"/>
          <w:sz w:val="20"/>
          <w:szCs w:val="20"/>
        </w:rPr>
        <w:t xml:space="preserve">; </w:t>
      </w:r>
      <w:hyperlink w:history="1" r:id="rIdqxhuk00dgzot1cpykg1g0">
        <w:r>
          <w:rPr>
            <w:rFonts w:ascii="Arial" w:cs="Arial" w:eastAsia="Arial" w:hAnsi="Arial"/>
            <w:sz w:val="20"/>
            <w:szCs w:val="20"/>
            <w:u w:val="single"/>
          </w:rPr>
          <w:t xml:space="preserve">CBS Sports citing Knight-Newhouse, Sept 2026</w:t>
        </w:r>
      </w:hyperlink>
    </w:p>
    <w:p>
      <w:pPr>
        <w:pStyle w:val="ListParagraph"/>
        <w:numPr>
          <w:ilvl w:val="0"/>
          <w:numId w:val="2"/>
        </w:numPr>
        <w:spacing w:after="40"/>
      </w:pPr>
      <w:r>
        <w:rPr>
          <w:rFonts w:ascii="Arial" w:cs="Arial" w:eastAsia="Arial" w:hAnsi="Arial"/>
          <w:sz w:val="20"/>
          <w:szCs w:val="20"/>
        </w:rPr>
        <w:t xml:space="preserve">By conference, FY2025 (median share / aggregate share): SEC 25.6% / 28.3%; Big 12 24.4% / 25.5%; ACC 23.4% / 22.6%; Big Ten 17.9% / 18.2%. The Big Ten is the least donor-dependent because its media money is the largest.</w:t>
      </w:r>
    </w:p>
    <w:p>
      <w:pPr>
        <w:pStyle w:val="ListParagraph"/>
        <w:numPr>
          <w:ilvl w:val="1"/>
          <w:numId w:val="2"/>
        </w:numPr>
        <w:spacing w:after="80"/>
      </w:pPr>
      <w:r>
        <w:rPr>
          <w:rFonts w:ascii="Arial" w:cs="Arial" w:eastAsia="Arial" w:hAnsi="Arial"/>
          <w:sz w:val="20"/>
          <w:szCs w:val="20"/>
        </w:rPr>
        <w:t xml:space="preserve">Source link: </w:t>
      </w:r>
      <w:hyperlink w:history="1" r:id="rIdnw2q9gdd9sn8ynfoitzjv">
        <w:r>
          <w:rPr>
            <w:rFonts w:ascii="Arial" w:cs="Arial" w:eastAsia="Arial" w:hAnsi="Arial"/>
            <w:sz w:val="20"/>
            <w:szCs w:val="20"/>
            <w:u w:val="single"/>
          </w:rPr>
          <w:t xml:space="preserve">Computed from FY2025 MFRS reports (appendix)</w:t>
        </w:r>
      </w:hyperlink>
    </w:p>
    <w:p>
      <w:pPr>
        <w:pStyle w:val="ListParagraph"/>
        <w:numPr>
          <w:ilvl w:val="0"/>
          <w:numId w:val="2"/>
        </w:numPr>
        <w:spacing w:after="40"/>
      </w:pPr>
      <w:r>
        <w:rPr>
          <w:rFonts w:ascii="Arial" w:cs="Arial" w:eastAsia="Arial" w:hAnsi="Arial"/>
          <w:sz w:val="20"/>
          <w:szCs w:val="20"/>
        </w:rPr>
        <w:t xml:space="preserve">The range is wide. Oklahoma State is 50.8% donor-funded ($76.5M), Texas 47.6% ($167.8M, the most in the country), Oklahoma 45.2% ($92.9M, a school record), Tennessee 36.4% ($110.6M), Mississippi State 35.9%. At the other end: Rutgers 5.5% ($8.1M), South Carolina 8.6%, UCLA 8.8%, Maryland 9.1%.</w:t>
      </w:r>
    </w:p>
    <w:p>
      <w:pPr>
        <w:pStyle w:val="ListParagraph"/>
        <w:numPr>
          <w:ilvl w:val="1"/>
          <w:numId w:val="2"/>
        </w:numPr>
        <w:spacing w:after="80"/>
      </w:pPr>
      <w:r>
        <w:rPr>
          <w:rFonts w:ascii="Arial" w:cs="Arial" w:eastAsia="Arial" w:hAnsi="Arial"/>
          <w:sz w:val="20"/>
          <w:szCs w:val="20"/>
        </w:rPr>
        <w:t xml:space="preserve">Source links: </w:t>
      </w:r>
      <w:hyperlink w:history="1" r:id="rIdwhtqjziq0ikuzbc5erdts">
        <w:r>
          <w:rPr>
            <w:rFonts w:ascii="Arial" w:cs="Arial" w:eastAsia="Arial" w:hAnsi="Arial"/>
            <w:sz w:val="20"/>
            <w:szCs w:val="20"/>
            <w:u w:val="single"/>
          </w:rPr>
          <w:t xml:space="preserve">Computed from FY2025 MFRS reports (appendix)</w:t>
        </w:r>
      </w:hyperlink>
      <w:r>
        <w:rPr>
          <w:rFonts w:ascii="Arial" w:cs="Arial" w:eastAsia="Arial" w:hAnsi="Arial"/>
          <w:sz w:val="20"/>
          <w:szCs w:val="20"/>
        </w:rPr>
        <w:t xml:space="preserve">; </w:t>
      </w:r>
      <w:hyperlink w:history="1" r:id="rIdfx9out1m9ajsm8sjemega">
        <w:r>
          <w:rPr>
            <w:rFonts w:ascii="Arial" w:cs="Arial" w:eastAsia="Arial" w:hAnsi="Arial"/>
            <w:sz w:val="20"/>
            <w:szCs w:val="20"/>
            <w:u w:val="single"/>
          </w:rPr>
          <w:t xml:space="preserve">247Sports on Oklahoma, Jan 2026</w:t>
        </w:r>
      </w:hyperlink>
    </w:p>
    <w:p>
      <w:pPr>
        <w:pStyle w:val="ListParagraph"/>
        <w:numPr>
          <w:ilvl w:val="0"/>
          <w:numId w:val="2"/>
        </w:numPr>
        <w:spacing w:after="40"/>
      </w:pPr>
      <w:r>
        <w:rPr>
          <w:rFonts w:ascii="Arial" w:cs="Arial" w:eastAsia="Arial" w:hAnsi="Arial"/>
          <w:sz w:val="20"/>
          <w:szCs w:val="20"/>
        </w:rPr>
        <w:t xml:space="preserve">Donations are still growing, not being cannibalized by NIL collectives: Ohio State a record $68.3M (from $52.5M), Oklahoma a record $92.9M, Auburn $56.4M (up $11.1M), UCF $27.9M (from $15.4M).</w:t>
      </w:r>
    </w:p>
    <w:p>
      <w:pPr>
        <w:pStyle w:val="ListParagraph"/>
        <w:numPr>
          <w:ilvl w:val="1"/>
          <w:numId w:val="2"/>
        </w:numPr>
        <w:spacing w:after="80"/>
      </w:pPr>
      <w:r>
        <w:rPr>
          <w:rFonts w:ascii="Arial" w:cs="Arial" w:eastAsia="Arial" w:hAnsi="Arial"/>
          <w:sz w:val="20"/>
          <w:szCs w:val="20"/>
        </w:rPr>
        <w:t xml:space="preserve">Source links: </w:t>
      </w:r>
      <w:hyperlink w:history="1" r:id="rIdmdszd3w44fnbmjkd84a5q">
        <w:r>
          <w:rPr>
            <w:rFonts w:ascii="Arial" w:cs="Arial" w:eastAsia="Arial" w:hAnsi="Arial"/>
            <w:sz w:val="20"/>
            <w:szCs w:val="20"/>
            <w:u w:val="single"/>
          </w:rPr>
          <w:t xml:space="preserve">Ohio State News, Jan 2026</w:t>
        </w:r>
      </w:hyperlink>
      <w:r>
        <w:rPr>
          <w:rFonts w:ascii="Arial" w:cs="Arial" w:eastAsia="Arial" w:hAnsi="Arial"/>
          <w:sz w:val="20"/>
          <w:szCs w:val="20"/>
        </w:rPr>
        <w:t xml:space="preserve">; </w:t>
      </w:r>
      <w:hyperlink w:history="1" r:id="rIdw3fxhvoime6hiqhx-gj0j">
        <w:r>
          <w:rPr>
            <w:rFonts w:ascii="Arial" w:cs="Arial" w:eastAsia="Arial" w:hAnsi="Arial"/>
            <w:sz w:val="20"/>
            <w:szCs w:val="20"/>
            <w:u w:val="single"/>
          </w:rPr>
          <w:t xml:space="preserve">247Sports on Oklahoma</w:t>
        </w:r>
      </w:hyperlink>
      <w:r>
        <w:rPr>
          <w:rFonts w:ascii="Arial" w:cs="Arial" w:eastAsia="Arial" w:hAnsi="Arial"/>
          <w:sz w:val="20"/>
          <w:szCs w:val="20"/>
        </w:rPr>
        <w:t xml:space="preserve">; </w:t>
      </w:r>
      <w:hyperlink w:history="1" r:id="rIdjhp2sg_tj41oof_-ts0l1">
        <w:r>
          <w:rPr>
            <w:rFonts w:ascii="Arial" w:cs="Arial" w:eastAsia="Arial" w:hAnsi="Arial"/>
            <w:sz w:val="20"/>
            <w:szCs w:val="20"/>
            <w:u w:val="single"/>
          </w:rPr>
          <w:t xml:space="preserve">AL.com on Auburn, Jan 2026</w:t>
        </w:r>
      </w:hyperlink>
      <w:r>
        <w:rPr>
          <w:rFonts w:ascii="Arial" w:cs="Arial" w:eastAsia="Arial" w:hAnsi="Arial"/>
          <w:sz w:val="20"/>
          <w:szCs w:val="20"/>
        </w:rPr>
        <w:t xml:space="preserve">; </w:t>
      </w:r>
      <w:hyperlink w:history="1" r:id="rIdvvz4iq3hu4qkaf4ybenyk">
        <w:r>
          <w:rPr>
            <w:rFonts w:ascii="Arial" w:cs="Arial" w:eastAsia="Arial" w:hAnsi="Arial"/>
            <w:sz w:val="20"/>
            <w:szCs w:val="20"/>
            <w:u w:val="single"/>
          </w:rPr>
          <w:t xml:space="preserve">Orlando Sentinel on UCF</w:t>
        </w:r>
      </w:hyperlink>
    </w:p>
    <w:p>
      <w:pPr>
        <w:pStyle w:val="ListParagraph"/>
        <w:numPr>
          <w:ilvl w:val="0"/>
          <w:numId w:val="2"/>
        </w:numPr>
        <w:spacing w:after="40"/>
      </w:pPr>
      <w:r>
        <w:rPr>
          <w:rFonts w:ascii="Arial" w:cs="Arial" w:eastAsia="Arial" w:hAnsi="Arial"/>
          <w:sz w:val="20"/>
          <w:szCs w:val="20"/>
        </w:rPr>
        <w:t xml:space="preserve">Two definitional notes. NCAA "contributions" include priority-seating and seat-license payments tied to tickets, so a portion is quasi-ticket revenue. And the 14 public Power Four schools that cover expenses without university support still, in the Senate report's words, "depend significantly on donor money to stay afloat."</w:t>
      </w:r>
    </w:p>
    <w:p>
      <w:pPr>
        <w:pStyle w:val="ListParagraph"/>
        <w:numPr>
          <w:ilvl w:val="1"/>
          <w:numId w:val="2"/>
        </w:numPr>
        <w:spacing w:after="80"/>
      </w:pPr>
      <w:r>
        <w:rPr>
          <w:rFonts w:ascii="Arial" w:cs="Arial" w:eastAsia="Arial" w:hAnsi="Arial"/>
          <w:sz w:val="20"/>
          <w:szCs w:val="20"/>
        </w:rPr>
        <w:t xml:space="preserve">Source link: </w:t>
      </w:r>
      <w:hyperlink w:history="1" r:id="rIdstt1ru_d-guk57vramyci">
        <w:r>
          <w:rPr>
            <w:rFonts w:ascii="Arial" w:cs="Arial" w:eastAsia="Arial" w:hAnsi="Arial"/>
            <w:sz w:val="20"/>
            <w:szCs w:val="20"/>
            <w:u w:val="single"/>
          </w:rPr>
          <w:t xml:space="preserve">Sen. Cantwell report, Sept 2026</w:t>
        </w:r>
      </w:hyperlink>
    </w:p>
    <w:p>
      <w:pPr>
        <w:spacing w:after="80" w:before="240"/>
      </w:pPr>
      <w:r>
        <w:rPr>
          <w:rFonts w:ascii="Arial" w:cs="Arial" w:eastAsia="Arial" w:hAnsi="Arial"/>
          <w:b/>
          <w:bCs/>
          <w:sz w:val="20"/>
          <w:szCs w:val="20"/>
        </w:rPr>
        <w:t xml:space="preserve">On average, what revenue do Power 4 athletic departments have?</w:t>
      </w:r>
    </w:p>
    <w:p>
      <w:pPr>
        <w:pStyle w:val="ListParagraph"/>
        <w:numPr>
          <w:ilvl w:val="0"/>
          <w:numId w:val="2"/>
        </w:numPr>
        <w:spacing w:after="40"/>
      </w:pPr>
      <w:r>
        <w:rPr>
          <w:rFonts w:ascii="Arial" w:cs="Arial" w:eastAsia="Arial" w:hAnsi="Arial"/>
          <w:sz w:val="20"/>
          <w:szCs w:val="20"/>
        </w:rPr>
        <w:t xml:space="preserve">FY2025, 52 public Power Four departments: mean total revenue $183.6M, median $178.6M, range $92.8M (Houston) to $352.5M (Texas); combined $9.55B. Expenses: mean $184.4M, median $180.7M, combined $9.59B.</w:t>
      </w:r>
    </w:p>
    <w:p>
      <w:pPr>
        <w:pStyle w:val="ListParagraph"/>
        <w:numPr>
          <w:ilvl w:val="1"/>
          <w:numId w:val="2"/>
        </w:numPr>
        <w:spacing w:after="80"/>
      </w:pPr>
      <w:r>
        <w:rPr>
          <w:rFonts w:ascii="Arial" w:cs="Arial" w:eastAsia="Arial" w:hAnsi="Arial"/>
          <w:sz w:val="20"/>
          <w:szCs w:val="20"/>
        </w:rPr>
        <w:t xml:space="preserve">Source link: </w:t>
      </w:r>
      <w:hyperlink w:history="1" r:id="rIdfqh79cmcdw5dybk696ayd">
        <w:r>
          <w:rPr>
            <w:rFonts w:ascii="Arial" w:cs="Arial" w:eastAsia="Arial" w:hAnsi="Arial"/>
            <w:sz w:val="20"/>
            <w:szCs w:val="20"/>
            <w:u w:val="single"/>
          </w:rPr>
          <w:t xml:space="preserve">Computed from FY2025 MFRS reports (appendix)</w:t>
        </w:r>
      </w:hyperlink>
    </w:p>
    <w:p>
      <w:pPr>
        <w:pStyle w:val="ListParagraph"/>
        <w:numPr>
          <w:ilvl w:val="0"/>
          <w:numId w:val="2"/>
        </w:numPr>
        <w:spacing w:after="40"/>
      </w:pPr>
      <w:r>
        <w:rPr>
          <w:rFonts w:ascii="Arial" w:cs="Arial" w:eastAsia="Arial" w:hAnsi="Arial"/>
          <w:sz w:val="20"/>
          <w:szCs w:val="20"/>
        </w:rPr>
        <w:t xml:space="preserve">By conference, FY2025 (mean / median revenue): SEC $224.0M / $205.9M (15 publics); Big Ten $194.9M / $181.7M (16); ACC $167.1M / $158.1M (8); Big 12 $133.4M / $140.3M (13). The SEC average is about $90M above the Big 12 average.</w:t>
      </w:r>
    </w:p>
    <w:p>
      <w:pPr>
        <w:pStyle w:val="ListParagraph"/>
        <w:numPr>
          <w:ilvl w:val="1"/>
          <w:numId w:val="2"/>
        </w:numPr>
        <w:spacing w:after="80"/>
      </w:pPr>
      <w:r>
        <w:rPr>
          <w:rFonts w:ascii="Arial" w:cs="Arial" w:eastAsia="Arial" w:hAnsi="Arial"/>
          <w:sz w:val="20"/>
          <w:szCs w:val="20"/>
        </w:rPr>
        <w:t xml:space="preserve">Source link: </w:t>
      </w:r>
      <w:hyperlink w:history="1" r:id="rIdr8w__kv46f1mnxfpuqyjl">
        <w:r>
          <w:rPr>
            <w:rFonts w:ascii="Arial" w:cs="Arial" w:eastAsia="Arial" w:hAnsi="Arial"/>
            <w:sz w:val="20"/>
            <w:szCs w:val="20"/>
            <w:u w:val="single"/>
          </w:rPr>
          <w:t xml:space="preserve">Computed from FY2025 MFRS reports (appendix)</w:t>
        </w:r>
      </w:hyperlink>
    </w:p>
    <w:p>
      <w:pPr>
        <w:pStyle w:val="ListParagraph"/>
        <w:numPr>
          <w:ilvl w:val="0"/>
          <w:numId w:val="2"/>
        </w:numPr>
        <w:spacing w:after="40"/>
      </w:pPr>
      <w:r>
        <w:rPr>
          <w:rFonts w:ascii="Arial" w:cs="Arial" w:eastAsia="Arial" w:hAnsi="Arial"/>
          <w:sz w:val="20"/>
          <w:szCs w:val="20"/>
        </w:rPr>
        <w:t xml:space="preserve">Top of the table: Texas $352.5M, Ohio State $336.1M, Tennessee $304.1M, Michigan $275.8M, Alabama $267.4M, Penn State $254.9M, Texas A&amp;M $235.5M, Georgia $233.5M, LSU $223.5M, Florida $221.0M. Fifteen public schools cleared $200M in FY2025.</w:t>
      </w:r>
    </w:p>
    <w:p>
      <w:pPr>
        <w:pStyle w:val="ListParagraph"/>
        <w:numPr>
          <w:ilvl w:val="1"/>
          <w:numId w:val="2"/>
        </w:numPr>
        <w:spacing w:after="80"/>
      </w:pPr>
      <w:r>
        <w:rPr>
          <w:rFonts w:ascii="Arial" w:cs="Arial" w:eastAsia="Arial" w:hAnsi="Arial"/>
          <w:sz w:val="20"/>
          <w:szCs w:val="20"/>
        </w:rPr>
        <w:t xml:space="preserve">Source links: </w:t>
      </w:r>
      <w:hyperlink w:history="1" r:id="rId9plpusitmsxsp7qt_rds3">
        <w:r>
          <w:rPr>
            <w:rFonts w:ascii="Arial" w:cs="Arial" w:eastAsia="Arial" w:hAnsi="Arial"/>
            <w:sz w:val="20"/>
            <w:szCs w:val="20"/>
            <w:u w:val="single"/>
          </w:rPr>
          <w:t xml:space="preserve">Computed from FY2025 MFRS reports (appendix)</w:t>
        </w:r>
      </w:hyperlink>
      <w:r>
        <w:rPr>
          <w:rFonts w:ascii="Arial" w:cs="Arial" w:eastAsia="Arial" w:hAnsi="Arial"/>
          <w:sz w:val="20"/>
          <w:szCs w:val="20"/>
        </w:rPr>
        <w:t xml:space="preserve">; </w:t>
      </w:r>
      <w:hyperlink w:history="1" r:id="rIdu0fmr2lt88cqbokpbq2tb">
        <w:r>
          <w:rPr>
            <w:rFonts w:ascii="Arial" w:cs="Arial" w:eastAsia="Arial" w:hAnsi="Arial"/>
            <w:sz w:val="20"/>
            <w:szCs w:val="20"/>
            <w:u w:val="single"/>
          </w:rPr>
          <w:t xml:space="preserve">Ohio State News, Jan 2026</w:t>
        </w:r>
      </w:hyperlink>
    </w:p>
    <w:p>
      <w:pPr>
        <w:pStyle w:val="ListParagraph"/>
        <w:numPr>
          <w:ilvl w:val="0"/>
          <w:numId w:val="2"/>
        </w:numPr>
        <w:spacing w:after="40"/>
      </w:pPr>
      <w:r>
        <w:rPr>
          <w:rFonts w:ascii="Arial" w:cs="Arial" w:eastAsia="Arial" w:hAnsi="Arial"/>
          <w:sz w:val="20"/>
          <w:szCs w:val="20"/>
        </w:rPr>
        <w:t xml:space="preserve">The NCAA's full-sample benchmark (all 69 autonomy schools including privates, FY2024): median total revenue $149.3M, median generated revenue $133.8M, median expenses $166.8M. The FY2025 public-only median is about $30M higher for two reasons: the privates that are missing are mostly smaller programs (Wake Forest, Boston College, Vanderbilt), and FY2025 was the first full year of the new Big Ten and SEC television contracts.</w:t>
      </w:r>
    </w:p>
    <w:p>
      <w:pPr>
        <w:pStyle w:val="ListParagraph"/>
        <w:numPr>
          <w:ilvl w:val="1"/>
          <w:numId w:val="2"/>
        </w:numPr>
        <w:spacing w:after="80"/>
      </w:pPr>
      <w:r>
        <w:rPr>
          <w:rFonts w:ascii="Arial" w:cs="Arial" w:eastAsia="Arial" w:hAnsi="Arial"/>
          <w:sz w:val="20"/>
          <w:szCs w:val="20"/>
        </w:rPr>
        <w:t xml:space="preserve">Source link: </w:t>
      </w:r>
      <w:hyperlink w:history="1" r:id="rIdxor-yhbw9kenkd8acwekk">
        <w:r>
          <w:rPr>
            <w:rFonts w:ascii="Arial" w:cs="Arial" w:eastAsia="Arial" w:hAnsi="Arial"/>
            <w:sz w:val="20"/>
            <w:szCs w:val="20"/>
            <w:u w:val="single"/>
          </w:rPr>
          <w:t xml:space="preserve">NCAA 10-year trends, Dec 2025, p. 7</w:t>
        </w:r>
      </w:hyperlink>
    </w:p>
    <w:p>
      <w:pPr>
        <w:pStyle w:val="ListParagraph"/>
        <w:numPr>
          <w:ilvl w:val="0"/>
          <w:numId w:val="2"/>
        </w:numPr>
        <w:spacing w:after="40"/>
      </w:pPr>
      <w:r>
        <w:rPr>
          <w:rFonts w:ascii="Arial" w:cs="Arial" w:eastAsia="Arial" w:hAnsi="Arial"/>
          <w:sz w:val="20"/>
          <w:szCs w:val="20"/>
        </w:rPr>
        <w:t xml:space="preserve">Where the revenue comes from (NCAA FY2024, autonomy schools): media rights, NCAA and conference distributions and bowl revenue 31%; donor contributions and endowments 26%; ticket sales 17%; university and government support 10%; royalties and licensing 9%; other 6%; student fees 1%.</w:t>
      </w:r>
    </w:p>
    <w:p>
      <w:pPr>
        <w:pStyle w:val="ListParagraph"/>
        <w:numPr>
          <w:ilvl w:val="1"/>
          <w:numId w:val="2"/>
        </w:numPr>
        <w:spacing w:after="80"/>
      </w:pPr>
      <w:r>
        <w:rPr>
          <w:rFonts w:ascii="Arial" w:cs="Arial" w:eastAsia="Arial" w:hAnsi="Arial"/>
          <w:sz w:val="20"/>
          <w:szCs w:val="20"/>
        </w:rPr>
        <w:t xml:space="preserve">Source link: </w:t>
      </w:r>
      <w:hyperlink w:history="1" r:id="rIddhosmbdqt-ddaew--zupv">
        <w:r>
          <w:rPr>
            <w:rFonts w:ascii="Arial" w:cs="Arial" w:eastAsia="Arial" w:hAnsi="Arial"/>
            <w:sz w:val="20"/>
            <w:szCs w:val="20"/>
            <w:u w:val="single"/>
          </w:rPr>
          <w:t xml:space="preserve">NCAA 10-year trends, Dec 2025, p. 16</w:t>
        </w:r>
      </w:hyperlink>
    </w:p>
    <w:p>
      <w:pPr>
        <w:pStyle w:val="ListParagraph"/>
        <w:numPr>
          <w:ilvl w:val="0"/>
          <w:numId w:val="2"/>
        </w:numPr>
        <w:spacing w:after="40"/>
      </w:pPr>
      <w:r>
        <w:rPr>
          <w:rFonts w:ascii="Arial" w:cs="Arial" w:eastAsia="Arial" w:hAnsi="Arial"/>
          <w:sz w:val="20"/>
          <w:szCs w:val="20"/>
        </w:rPr>
        <w:t xml:space="preserve">Conference distributions per full-share school, FY2025: Big Ten $76.1M, SEC $72.4M, ACC about $47M, Big 12 average $39.5M. That single line explains most of the gap between the SEC and Big Ten on one hand and the ACC and Big 12 on the other.</w:t>
      </w:r>
    </w:p>
    <w:p>
      <w:pPr>
        <w:pStyle w:val="ListParagraph"/>
        <w:numPr>
          <w:ilvl w:val="1"/>
          <w:numId w:val="2"/>
        </w:numPr>
        <w:spacing w:after="80"/>
      </w:pPr>
      <w:r>
        <w:rPr>
          <w:rFonts w:ascii="Arial" w:cs="Arial" w:eastAsia="Arial" w:hAnsi="Arial"/>
          <w:sz w:val="20"/>
          <w:szCs w:val="20"/>
        </w:rPr>
        <w:t xml:space="preserve">Source links: </w:t>
      </w:r>
      <w:hyperlink w:history="1" r:id="rIdhekxymb7w8-n9aq_ksx-s">
        <w:r>
          <w:rPr>
            <w:rFonts w:ascii="Arial" w:cs="Arial" w:eastAsia="Arial" w:hAnsi="Arial"/>
            <w:sz w:val="20"/>
            <w:szCs w:val="20"/>
            <w:u w:val="single"/>
          </w:rPr>
          <w:t xml:space="preserve">CBS Sports on Big Ten, May 2026</w:t>
        </w:r>
      </w:hyperlink>
      <w:r>
        <w:rPr>
          <w:rFonts w:ascii="Arial" w:cs="Arial" w:eastAsia="Arial" w:hAnsi="Arial"/>
          <w:sz w:val="20"/>
          <w:szCs w:val="20"/>
        </w:rPr>
        <w:t xml:space="preserve">; </w:t>
      </w:r>
      <w:hyperlink w:history="1" r:id="rIdzxhdirup2wmu_kywsj_yl">
        <w:r>
          <w:rPr>
            <w:rFonts w:ascii="Arial" w:cs="Arial" w:eastAsia="Arial" w:hAnsi="Arial"/>
            <w:sz w:val="20"/>
            <w:szCs w:val="20"/>
            <w:u w:val="single"/>
          </w:rPr>
          <w:t xml:space="preserve">SEC release, Feb 2026</w:t>
        </w:r>
      </w:hyperlink>
      <w:r>
        <w:rPr>
          <w:rFonts w:ascii="Arial" w:cs="Arial" w:eastAsia="Arial" w:hAnsi="Arial"/>
          <w:sz w:val="20"/>
          <w:szCs w:val="20"/>
        </w:rPr>
        <w:t xml:space="preserve">; </w:t>
      </w:r>
      <w:hyperlink w:history="1" r:id="rId61r6slf9rold12qd1uezq">
        <w:r>
          <w:rPr>
            <w:rFonts w:ascii="Arial" w:cs="Arial" w:eastAsia="Arial" w:hAnsi="Arial"/>
            <w:sz w:val="20"/>
            <w:szCs w:val="20"/>
            <w:u w:val="single"/>
          </w:rPr>
          <w:t xml:space="preserve">Wilner, Bay Area News Group, May 2026</w:t>
        </w:r>
      </w:hyperlink>
    </w:p>
    <w:p>
      <w:pPr>
        <w:pStyle w:val="ListParagraph"/>
        <w:numPr>
          <w:ilvl w:val="0"/>
          <w:numId w:val="2"/>
        </w:numPr>
        <w:spacing w:after="40"/>
      </w:pPr>
      <w:r>
        <w:rPr>
          <w:rFonts w:ascii="Arial" w:cs="Arial" w:eastAsia="Arial" w:hAnsi="Arial"/>
          <w:sz w:val="20"/>
          <w:szCs w:val="20"/>
        </w:rPr>
        <w:t xml:space="preserve">Scale check: across all 110 public FBS programs in FY2025, revenue was $12.8B against $12.8B of spending, with $11.4B of athletics debt outstanding. The 52 public Power Four schools alone account for $9.55B of that $12.8B.</w:t>
      </w:r>
    </w:p>
    <w:p>
      <w:pPr>
        <w:pStyle w:val="ListParagraph"/>
        <w:numPr>
          <w:ilvl w:val="1"/>
          <w:numId w:val="2"/>
        </w:numPr>
        <w:spacing w:after="80"/>
      </w:pPr>
      <w:r>
        <w:rPr>
          <w:rFonts w:ascii="Arial" w:cs="Arial" w:eastAsia="Arial" w:hAnsi="Arial"/>
          <w:sz w:val="20"/>
          <w:szCs w:val="20"/>
        </w:rPr>
        <w:t xml:space="preserve">Source link: </w:t>
      </w:r>
      <w:hyperlink w:history="1" r:id="rIdr_dvg1tkanjtizybaoxf4">
        <w:r>
          <w:rPr>
            <w:rFonts w:ascii="Arial" w:cs="Arial" w:eastAsia="Arial" w:hAnsi="Arial"/>
            <w:sz w:val="20"/>
            <w:szCs w:val="20"/>
            <w:u w:val="single"/>
          </w:rPr>
          <w:t xml:space="preserve">Knight-Newhouse FY2025 sheet</w:t>
        </w:r>
      </w:hyperlink>
    </w:p>
    <w:p>
      <w:pPr>
        <w:pStyle w:val="ListParagraph"/>
        <w:numPr>
          <w:ilvl w:val="0"/>
          <w:numId w:val="2"/>
        </w:numPr>
        <w:spacing w:after="40"/>
      </w:pPr>
      <w:r>
        <w:rPr>
          <w:rFonts w:ascii="Arial" w:cs="Arial" w:eastAsia="Arial" w:hAnsi="Arial"/>
          <w:sz w:val="20"/>
          <w:szCs w:val="20"/>
        </w:rPr>
        <w:t xml:space="preserve">Revenue growth has not outrun spending growth. Over ten years the median Power school's generated revenue grew 56% while its expenses grew 81%.</w:t>
      </w:r>
    </w:p>
    <w:p>
      <w:pPr>
        <w:pStyle w:val="ListParagraph"/>
        <w:numPr>
          <w:ilvl w:val="1"/>
          <w:numId w:val="2"/>
        </w:numPr>
        <w:spacing w:after="80"/>
      </w:pPr>
      <w:r>
        <w:rPr>
          <w:rFonts w:ascii="Arial" w:cs="Arial" w:eastAsia="Arial" w:hAnsi="Arial"/>
          <w:sz w:val="20"/>
          <w:szCs w:val="20"/>
        </w:rPr>
        <w:t xml:space="preserve">Source links: </w:t>
      </w:r>
      <w:hyperlink w:history="1" r:id="rIdtiz2hz13vzospn-349rj1">
        <w:r>
          <w:rPr>
            <w:rFonts w:ascii="Arial" w:cs="Arial" w:eastAsia="Arial" w:hAnsi="Arial"/>
            <w:sz w:val="20"/>
            <w:szCs w:val="20"/>
            <w:u w:val="single"/>
          </w:rPr>
          <w:t xml:space="preserve">NCAA 10-year trends, Dec 2025, p. 36</w:t>
        </w:r>
      </w:hyperlink>
      <w:r>
        <w:rPr>
          <w:rFonts w:ascii="Arial" w:cs="Arial" w:eastAsia="Arial" w:hAnsi="Arial"/>
          <w:sz w:val="20"/>
          <w:szCs w:val="20"/>
        </w:rPr>
        <w:t xml:space="preserve">; </w:t>
      </w:r>
      <w:hyperlink w:history="1" r:id="rIdzz-h-ykzottxuz7f1rjbp">
        <w:r>
          <w:rPr>
            <w:rFonts w:ascii="Arial" w:cs="Arial" w:eastAsia="Arial" w:hAnsi="Arial"/>
            <w:sz w:val="20"/>
            <w:szCs w:val="20"/>
            <w:u w:val="single"/>
          </w:rPr>
          <w:t xml:space="preserve">GAO-26-108640, July 2026</w:t>
        </w:r>
      </w:hyperlink>
    </w:p>
    <w:p>
      <w:pPr>
        <w:spacing w:after="80" w:before="240"/>
      </w:pPr>
      <w:r>
        <w:rPr>
          <w:rFonts w:ascii="Arial" w:cs="Arial" w:eastAsia="Arial" w:hAnsi="Arial"/>
          <w:b/>
          <w:bCs/>
          <w:sz w:val="20"/>
          <w:szCs w:val="20"/>
        </w:rPr>
        <w:t xml:space="preserve">On average, how many sports do Power 4 athletic departments sponsor?</w:t>
      </w:r>
    </w:p>
    <w:p>
      <w:pPr>
        <w:pStyle w:val="ListParagraph"/>
        <w:numPr>
          <w:ilvl w:val="0"/>
          <w:numId w:val="2"/>
        </w:numPr>
        <w:spacing w:after="40"/>
      </w:pPr>
      <w:r>
        <w:rPr>
          <w:rFonts w:ascii="Arial" w:cs="Arial" w:eastAsia="Arial" w:hAnsi="Arial"/>
          <w:sz w:val="20"/>
          <w:szCs w:val="20"/>
        </w:rPr>
        <w:t xml:space="preserve">About 22. Per the NCAA membership directory's "sponsored sports" listing for 2026-27, the 68 Power Four schools sponsor a mean of 21.7 and a median of 21 varsity sports, ranging from 16 (Kansas State, UCF, Mississippi State) to 37 (Stanford, which its own site counts as 36). We pulled all 68 school pages on Oct 27, 2026.</w:t>
      </w:r>
    </w:p>
    <w:p>
      <w:pPr>
        <w:pStyle w:val="ListParagraph"/>
        <w:numPr>
          <w:ilvl w:val="1"/>
          <w:numId w:val="2"/>
        </w:numPr>
        <w:spacing w:after="80"/>
      </w:pPr>
      <w:r>
        <w:rPr>
          <w:rFonts w:ascii="Arial" w:cs="Arial" w:eastAsia="Arial" w:hAnsi="Arial"/>
          <w:sz w:val="20"/>
          <w:szCs w:val="20"/>
        </w:rPr>
        <w:t xml:space="preserve">Source links: </w:t>
      </w:r>
      <w:hyperlink w:history="1" r:id="rId9w8_1e8lhega18kgtbdpl">
        <w:r>
          <w:rPr>
            <w:rFonts w:ascii="Arial" w:cs="Arial" w:eastAsia="Arial" w:hAnsi="Arial"/>
            <w:sz w:val="20"/>
            <w:szCs w:val="20"/>
            <w:u w:val="single"/>
          </w:rPr>
          <w:t xml:space="preserve">NCAA membership directory</w:t>
        </w:r>
      </w:hyperlink>
      <w:r>
        <w:rPr>
          <w:rFonts w:ascii="Arial" w:cs="Arial" w:eastAsia="Arial" w:hAnsi="Arial"/>
          <w:sz w:val="20"/>
          <w:szCs w:val="20"/>
        </w:rPr>
        <w:t xml:space="preserve">; </w:t>
      </w:r>
      <w:hyperlink w:history="1" r:id="rId2tvxk1a2mcftzcxnn7fhp">
        <w:r>
          <w:rPr>
            <w:rFonts w:ascii="Arial" w:cs="Arial" w:eastAsia="Arial" w:hAnsi="Arial"/>
            <w:sz w:val="20"/>
            <w:szCs w:val="20"/>
            <w:u w:val="single"/>
          </w:rPr>
          <w:t xml:space="preserve">Stanford directory page</w:t>
        </w:r>
      </w:hyperlink>
      <w:r>
        <w:rPr>
          <w:rFonts w:ascii="Arial" w:cs="Arial" w:eastAsia="Arial" w:hAnsi="Arial"/>
          <w:sz w:val="20"/>
          <w:szCs w:val="20"/>
        </w:rPr>
        <w:t xml:space="preserve">; </w:t>
      </w:r>
      <w:hyperlink w:history="1" r:id="rIdrq5md-k897m26nlmh3jp9">
        <w:r>
          <w:rPr>
            <w:rFonts w:ascii="Arial" w:cs="Arial" w:eastAsia="Arial" w:hAnsi="Arial"/>
            <w:sz w:val="20"/>
            <w:szCs w:val="20"/>
            <w:u w:val="single"/>
          </w:rPr>
          <w:t xml:space="preserve">Kansas State directory page</w:t>
        </w:r>
      </w:hyperlink>
    </w:p>
    <w:p>
      <w:pPr>
        <w:pStyle w:val="ListParagraph"/>
        <w:numPr>
          <w:ilvl w:val="0"/>
          <w:numId w:val="2"/>
        </w:numPr>
        <w:spacing w:after="40"/>
      </w:pPr>
      <w:r>
        <w:rPr>
          <w:rFonts w:ascii="Arial" w:cs="Arial" w:eastAsia="Arial" w:hAnsi="Arial"/>
          <w:sz w:val="20"/>
          <w:szCs w:val="20"/>
        </w:rPr>
        <w:t xml:space="preserve">By conference (mean / median): Big Ten 23.9 / 23 (range 20 to 35, Ohio State); ACC 23.6 / 22 (17 to 37); SEC 20.1 / 21 (16 to 23); Big 12 18.8 / 18 (16 to 26). The two richest conferences are not the broadest: the SEC's biggest brands (Texas, Alabama, Georgia, LSU, Florida, Oklahoma) each sponsor 21.</w:t>
      </w:r>
    </w:p>
    <w:p>
      <w:pPr>
        <w:pStyle w:val="ListParagraph"/>
        <w:numPr>
          <w:ilvl w:val="1"/>
          <w:numId w:val="2"/>
        </w:numPr>
        <w:spacing w:after="80"/>
      </w:pPr>
      <w:r>
        <w:rPr>
          <w:rFonts w:ascii="Arial" w:cs="Arial" w:eastAsia="Arial" w:hAnsi="Arial"/>
          <w:sz w:val="20"/>
          <w:szCs w:val="20"/>
        </w:rPr>
        <w:t xml:space="preserve">Source link: </w:t>
      </w:r>
      <w:hyperlink w:history="1" r:id="rIdt4g7jprooi40givetg79x">
        <w:r>
          <w:rPr>
            <w:rFonts w:ascii="Arial" w:cs="Arial" w:eastAsia="Arial" w:hAnsi="Arial"/>
            <w:sz w:val="20"/>
            <w:szCs w:val="20"/>
            <w:u w:val="single"/>
          </w:rPr>
          <w:t xml:space="preserve">NCAA membership directory</w:t>
        </w:r>
      </w:hyperlink>
    </w:p>
    <w:p>
      <w:pPr>
        <w:pStyle w:val="ListParagraph"/>
        <w:numPr>
          <w:ilvl w:val="0"/>
          <w:numId w:val="2"/>
        </w:numPr>
        <w:spacing w:after="40"/>
      </w:pPr>
      <w:r>
        <w:rPr>
          <w:rFonts w:ascii="Arial" w:cs="Arial" w:eastAsia="Arial" w:hAnsi="Arial"/>
          <w:sz w:val="20"/>
          <w:szCs w:val="20"/>
        </w:rPr>
        <w:t xml:space="preserve">Counting basis matters. The NCAA counts men's and women's cross country, indoor track and outdoor track as six separate sports. The federal EADA database lets schools report them as one line, and 67 of 68 Power Four schools do, so EADA shows a mean of 18.1 and median of 17 for 2024-25. Use the NCAA count when comparing to the NCAA minimum.</w:t>
      </w:r>
    </w:p>
    <w:p>
      <w:pPr>
        <w:pStyle w:val="ListParagraph"/>
        <w:numPr>
          <w:ilvl w:val="1"/>
          <w:numId w:val="2"/>
        </w:numPr>
        <w:spacing w:after="80"/>
      </w:pPr>
      <w:r>
        <w:rPr>
          <w:rFonts w:ascii="Arial" w:cs="Arial" w:eastAsia="Arial" w:hAnsi="Arial"/>
          <w:sz w:val="20"/>
          <w:szCs w:val="20"/>
        </w:rPr>
        <w:t xml:space="preserve">Source link: </w:t>
      </w:r>
      <w:hyperlink w:history="1" r:id="rIdonmei1xom8vyl6hqmes-a">
        <w:r>
          <w:rPr>
            <w:rFonts w:ascii="Arial" w:cs="Arial" w:eastAsia="Arial" w:hAnsi="Arial"/>
            <w:sz w:val="20"/>
            <w:szCs w:val="20"/>
            <w:u w:val="single"/>
          </w:rPr>
          <w:t xml:space="preserve">EADA data files, 2024-25</w:t>
        </w:r>
      </w:hyperlink>
    </w:p>
    <w:p>
      <w:pPr>
        <w:pStyle w:val="ListParagraph"/>
        <w:numPr>
          <w:ilvl w:val="0"/>
          <w:numId w:val="2"/>
        </w:numPr>
        <w:spacing w:after="40"/>
      </w:pPr>
      <w:r>
        <w:rPr>
          <w:rFonts w:ascii="Arial" w:cs="Arial" w:eastAsia="Arial" w:hAnsi="Arial"/>
          <w:sz w:val="20"/>
          <w:szCs w:val="20"/>
        </w:rPr>
        <w:t xml:space="preserve">The floor is 16. FBS members must sponsor at least 16 varsity sports including football, with at least six men's or mixed and eight women's sports, and the bylaw allows no waivers. Seventeen Power Four schools sit at 16 to 18 sports, with little room to cut.</w:t>
      </w:r>
    </w:p>
    <w:p>
      <w:pPr>
        <w:pStyle w:val="ListParagraph"/>
        <w:numPr>
          <w:ilvl w:val="1"/>
          <w:numId w:val="2"/>
        </w:numPr>
        <w:spacing w:after="80"/>
      </w:pPr>
      <w:r>
        <w:rPr>
          <w:rFonts w:ascii="Arial" w:cs="Arial" w:eastAsia="Arial" w:hAnsi="Arial"/>
          <w:sz w:val="20"/>
          <w:szCs w:val="20"/>
        </w:rPr>
        <w:t xml:space="preserve">Source link: </w:t>
      </w:r>
      <w:hyperlink w:history="1" r:id="rIdv8hfpfxl4npnaklemoiya">
        <w:r>
          <w:rPr>
            <w:rFonts w:ascii="Arial" w:cs="Arial" w:eastAsia="Arial" w:hAnsi="Arial"/>
            <w:sz w:val="20"/>
            <w:szCs w:val="20"/>
            <w:u w:val="single"/>
          </w:rPr>
          <w:t xml:space="preserve">NCAA Division I Manual 2026-27, Bylaw 20.9.9.1 and 20.9.9.5</w:t>
        </w:r>
      </w:hyperlink>
    </w:p>
    <w:p>
      <w:pPr>
        <w:pStyle w:val="ListParagraph"/>
        <w:numPr>
          <w:ilvl w:val="0"/>
          <w:numId w:val="2"/>
        </w:numPr>
        <w:spacing w:after="40"/>
      </w:pPr>
      <w:r>
        <w:rPr>
          <w:rFonts w:ascii="Arial" w:cs="Arial" w:eastAsia="Arial" w:hAnsi="Arial"/>
          <w:sz w:val="20"/>
          <w:szCs w:val="20"/>
        </w:rPr>
        <w:t xml:space="preserve">Roster size: the average Power Four department had 589 unduplicated athletes in 2024-25 (median 560); GAO counts 587 per Power school on FY2024 NCAA data. The all-Division I average is 19.2 teams and 577 athletes.</w:t>
      </w:r>
    </w:p>
    <w:p>
      <w:pPr>
        <w:pStyle w:val="ListParagraph"/>
        <w:numPr>
          <w:ilvl w:val="1"/>
          <w:numId w:val="2"/>
        </w:numPr>
        <w:spacing w:after="80"/>
      </w:pPr>
      <w:r>
        <w:rPr>
          <w:rFonts w:ascii="Arial" w:cs="Arial" w:eastAsia="Arial" w:hAnsi="Arial"/>
          <w:sz w:val="20"/>
          <w:szCs w:val="20"/>
        </w:rPr>
        <w:t xml:space="preserve">Source links: </w:t>
      </w:r>
      <w:hyperlink w:history="1" r:id="rIdkjxso4os5heo_ogda9mo4">
        <w:r>
          <w:rPr>
            <w:rFonts w:ascii="Arial" w:cs="Arial" w:eastAsia="Arial" w:hAnsi="Arial"/>
            <w:sz w:val="20"/>
            <w:szCs w:val="20"/>
            <w:u w:val="single"/>
          </w:rPr>
          <w:t xml:space="preserve">EADA data files, 2024-25</w:t>
        </w:r>
      </w:hyperlink>
      <w:r>
        <w:rPr>
          <w:rFonts w:ascii="Arial" w:cs="Arial" w:eastAsia="Arial" w:hAnsi="Arial"/>
          <w:sz w:val="20"/>
          <w:szCs w:val="20"/>
        </w:rPr>
        <w:t xml:space="preserve">; </w:t>
      </w:r>
      <w:hyperlink w:history="1" r:id="rIdmgjb14jymknq7lw9ocpgt">
        <w:r>
          <w:rPr>
            <w:rFonts w:ascii="Arial" w:cs="Arial" w:eastAsia="Arial" w:hAnsi="Arial"/>
            <w:sz w:val="20"/>
            <w:szCs w:val="20"/>
            <w:u w:val="single"/>
          </w:rPr>
          <w:t xml:space="preserve">GAO-26-108640, Table 1</w:t>
        </w:r>
      </w:hyperlink>
      <w:r>
        <w:rPr>
          <w:rFonts w:ascii="Arial" w:cs="Arial" w:eastAsia="Arial" w:hAnsi="Arial"/>
          <w:sz w:val="20"/>
          <w:szCs w:val="20"/>
        </w:rPr>
        <w:t xml:space="preserve">; </w:t>
      </w:r>
      <w:hyperlink w:history="1" r:id="rIdoskxlilgiw7-fr8sik76n">
        <w:r>
          <w:rPr>
            <w:rFonts w:ascii="Arial" w:cs="Arial" w:eastAsia="Arial" w:hAnsi="Arial"/>
            <w:sz w:val="20"/>
            <w:szCs w:val="20"/>
            <w:u w:val="single"/>
          </w:rPr>
          <w:t xml:space="preserve">NCAA Sports Sponsorship and Participation Rates Report, Sept 2025</w:t>
        </w:r>
      </w:hyperlink>
    </w:p>
    <w:p>
      <w:pPr>
        <w:pStyle w:val="ListParagraph"/>
        <w:numPr>
          <w:ilvl w:val="0"/>
          <w:numId w:val="2"/>
        </w:numPr>
        <w:spacing w:after="40"/>
      </w:pPr>
      <w:r>
        <w:rPr>
          <w:rFonts w:ascii="Arial" w:cs="Arial" w:eastAsia="Arial" w:hAnsi="Arial"/>
          <w:sz w:val="20"/>
          <w:szCs w:val="20"/>
        </w:rPr>
        <w:t xml:space="preserve">Only two of those sports pay for themselves. The NCAA's last sport-level medians (FY2016, autonomy schools) showed football +$19.0M and men's basketball +$2.8M net of generated revenue, and every other sport negative: women's basketball −$3.2M, baseball −$1.5M, rowing −$1.5M, volleyball −$1.4M, track −$1.3M, softball −$1.3M. The NCAA has not published sport-level medians since.</w:t>
      </w:r>
    </w:p>
    <w:p>
      <w:pPr>
        <w:pStyle w:val="ListParagraph"/>
        <w:numPr>
          <w:ilvl w:val="1"/>
          <w:numId w:val="2"/>
        </w:numPr>
        <w:spacing w:after="80"/>
      </w:pPr>
      <w:r>
        <w:rPr>
          <w:rFonts w:ascii="Arial" w:cs="Arial" w:eastAsia="Arial" w:hAnsi="Arial"/>
          <w:sz w:val="20"/>
          <w:szCs w:val="20"/>
        </w:rPr>
        <w:t xml:space="preserve">Source link: </w:t>
      </w:r>
      <w:hyperlink w:history="1" r:id="rIdhwvmvcxaml1khicfti17z">
        <w:r>
          <w:rPr>
            <w:rFonts w:ascii="Arial" w:cs="Arial" w:eastAsia="Arial" w:hAnsi="Arial"/>
            <w:sz w:val="20"/>
            <w:szCs w:val="20"/>
            <w:u w:val="single"/>
          </w:rPr>
          <w:t xml:space="preserve">NCAA Revenues and Expenses 2004-2016, Table 4.9</w:t>
        </w:r>
      </w:hyperlink>
    </w:p>
    <w:p>
      <w:pPr>
        <w:pStyle w:val="ListParagraph"/>
        <w:numPr>
          <w:ilvl w:val="0"/>
          <w:numId w:val="2"/>
        </w:numPr>
        <w:spacing w:after="40"/>
      </w:pPr>
      <w:r>
        <w:rPr>
          <w:rFonts w:ascii="Arial" w:cs="Arial" w:eastAsia="Arial" w:hAnsi="Arial"/>
          <w:sz w:val="20"/>
          <w:szCs w:val="20"/>
        </w:rPr>
        <w:t xml:space="preserve">House changed roster math, not sport counts. Scholarship caps became roster limits on July 1, 2025 (football 105, basketball 15, baseball 34, softball 25, soccer 28, volleyball 18). No Power Four school has dropped a sport citing the settlement; the only recent changes are Utah dropping beach volleyball (April 2025), Iowa State dropping gymnastics and adding women's wrestling (2026), and Nebraska adding flag football.</w:t>
      </w:r>
    </w:p>
    <w:p>
      <w:pPr>
        <w:pStyle w:val="ListParagraph"/>
        <w:numPr>
          <w:ilvl w:val="1"/>
          <w:numId w:val="2"/>
        </w:numPr>
        <w:spacing w:after="80"/>
      </w:pPr>
      <w:r>
        <w:rPr>
          <w:rFonts w:ascii="Arial" w:cs="Arial" w:eastAsia="Arial" w:hAnsi="Arial"/>
          <w:sz w:val="20"/>
          <w:szCs w:val="20"/>
        </w:rPr>
        <w:t xml:space="preserve">Source links: </w:t>
      </w:r>
      <w:hyperlink w:history="1" r:id="rIdpa65ghex9y3f29ooff1hy">
        <w:r>
          <w:rPr>
            <w:rFonts w:ascii="Arial" w:cs="Arial" w:eastAsia="Arial" w:hAnsi="Arial"/>
            <w:sz w:val="20"/>
            <w:szCs w:val="20"/>
            <w:u w:val="single"/>
          </w:rPr>
          <w:t xml:space="preserve">NCAA Proposal 2025-11, roster limits</w:t>
        </w:r>
      </w:hyperlink>
      <w:r>
        <w:rPr>
          <w:rFonts w:ascii="Arial" w:cs="Arial" w:eastAsia="Arial" w:hAnsi="Arial"/>
          <w:sz w:val="20"/>
          <w:szCs w:val="20"/>
        </w:rPr>
        <w:t xml:space="preserve">; </w:t>
      </w:r>
      <w:hyperlink w:history="1" r:id="rIdizw158aace-wuplsxzycg">
        <w:r>
          <w:rPr>
            <w:rFonts w:ascii="Arial" w:cs="Arial" w:eastAsia="Arial" w:hAnsi="Arial"/>
            <w:sz w:val="20"/>
            <w:szCs w:val="20"/>
            <w:u w:val="single"/>
          </w:rPr>
          <w:t xml:space="preserve">Utah Athletics, Apr 2025</w:t>
        </w:r>
      </w:hyperlink>
      <w:r>
        <w:rPr>
          <w:rFonts w:ascii="Arial" w:cs="Arial" w:eastAsia="Arial" w:hAnsi="Arial"/>
          <w:sz w:val="20"/>
          <w:szCs w:val="20"/>
        </w:rPr>
        <w:t xml:space="preserve">; </w:t>
      </w:r>
      <w:hyperlink w:history="1" r:id="rId1lxujavnjh8a1fmzvklek">
        <w:r>
          <w:rPr>
            <w:rFonts w:ascii="Arial" w:cs="Arial" w:eastAsia="Arial" w:hAnsi="Arial"/>
            <w:sz w:val="20"/>
            <w:szCs w:val="20"/>
            <w:u w:val="single"/>
          </w:rPr>
          <w:t xml:space="preserve">Iowa State Athletics, Apr 2026</w:t>
        </w:r>
      </w:hyperlink>
      <w:r>
        <w:rPr>
          <w:rFonts w:ascii="Arial" w:cs="Arial" w:eastAsia="Arial" w:hAnsi="Arial"/>
          <w:sz w:val="20"/>
          <w:szCs w:val="20"/>
        </w:rPr>
        <w:t xml:space="preserve">; </w:t>
      </w:r>
      <w:hyperlink w:history="1" r:id="rIdpn4hrreos5qvbnbjrsiie">
        <w:r>
          <w:rPr>
            <w:rFonts w:ascii="Arial" w:cs="Arial" w:eastAsia="Arial" w:hAnsi="Arial"/>
            <w:sz w:val="20"/>
            <w:szCs w:val="20"/>
            <w:u w:val="single"/>
          </w:rPr>
          <w:t xml:space="preserve">Huskers.com, Jan 2026</w:t>
        </w:r>
      </w:hyperlink>
    </w:p>
    <w:p>
      <w:pPr>
        <w:spacing w:after="80" w:before="360"/>
      </w:pPr>
      <w:r>
        <w:rPr>
          <w:rFonts w:ascii="Arial" w:cs="Arial" w:eastAsia="Arial" w:hAnsi="Arial"/>
          <w:b/>
          <w:bCs/>
          <w:sz w:val="20"/>
          <w:szCs w:val="20"/>
        </w:rPr>
        <w:t xml:space="preserve">Appendix: FY2025 school-level data, public Power Four departments ($M; NCAA MFRS basis; net = revenue minus expenses; allocated = university, state and student-fee support; sorted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000"/>
        <w:gridCol w:w="1000"/>
        <w:gridCol w:w="900"/>
        <w:gridCol w:w="1100"/>
        <w:gridCol w:w="1000"/>
        <w:gridCol w:w="1000"/>
        <w:gridCol w:w="760"/>
      </w:tblGrid>
      <w:tr>
        <w:trPr>
          <w:tblHeader/>
        </w:trPr>
        <w:tc>
          <w:tcPr>
            <w:tcW w:type="dxa" w:w="1700"/>
            <w:shd w:fill="EDEDED" w:color="auto" w:val="clear"/>
            <w:tcMar>
              <w:top w:type="dxa" w:w="30"/>
              <w:left w:type="dxa" w:w="60"/>
              <w:bottom w:type="dxa" w:w="30"/>
              <w:right w:type="dxa" w:w="60"/>
            </w:tcMar>
          </w:tcPr>
          <w:p>
            <w:r>
              <w:rPr>
                <w:rFonts w:ascii="Arial" w:cs="Arial" w:eastAsia="Arial" w:hAnsi="Arial"/>
                <w:b/>
                <w:bCs/>
                <w:sz w:val="20"/>
                <w:szCs w:val="20"/>
              </w:rPr>
              <w:t xml:space="preserve">School</w:t>
            </w:r>
          </w:p>
        </w:tc>
        <w:tc>
          <w:tcPr>
            <w:tcW w:type="dxa" w:w="900"/>
            <w:shd w:fill="EDEDED" w:color="auto" w:val="clear"/>
            <w:tcMar>
              <w:top w:type="dxa" w:w="30"/>
              <w:left w:type="dxa" w:w="60"/>
              <w:bottom w:type="dxa" w:w="30"/>
              <w:right w:type="dxa" w:w="60"/>
            </w:tcMar>
          </w:tcPr>
          <w:p>
            <w:r>
              <w:rPr>
                <w:rFonts w:ascii="Arial" w:cs="Arial" w:eastAsia="Arial" w:hAnsi="Arial"/>
                <w:b/>
                <w:bCs/>
                <w:sz w:val="20"/>
                <w:szCs w:val="20"/>
              </w:rPr>
              <w:t xml:space="preserve">Conf</w:t>
            </w:r>
          </w:p>
        </w:tc>
        <w:tc>
          <w:tcPr>
            <w:tcW w:type="dxa" w:w="1000"/>
            <w:shd w:fill="EDEDED" w:color="auto" w:val="clear"/>
            <w:tcMar>
              <w:top w:type="dxa" w:w="30"/>
              <w:left w:type="dxa" w:w="60"/>
              <w:bottom w:type="dxa" w:w="30"/>
              <w:right w:type="dxa" w:w="60"/>
            </w:tcMar>
          </w:tcPr>
          <w:p>
            <w:r>
              <w:rPr>
                <w:rFonts w:ascii="Arial" w:cs="Arial" w:eastAsia="Arial" w:hAnsi="Arial"/>
                <w:b/>
                <w:bCs/>
                <w:sz w:val="20"/>
                <w:szCs w:val="20"/>
              </w:rPr>
              <w:t xml:space="preserve">Revenue</w:t>
            </w:r>
          </w:p>
        </w:tc>
        <w:tc>
          <w:tcPr>
            <w:tcW w:type="dxa" w:w="1000"/>
            <w:shd w:fill="EDEDED" w:color="auto" w:val="clear"/>
            <w:tcMar>
              <w:top w:type="dxa" w:w="30"/>
              <w:left w:type="dxa" w:w="60"/>
              <w:bottom w:type="dxa" w:w="30"/>
              <w:right w:type="dxa" w:w="60"/>
            </w:tcMar>
          </w:tcPr>
          <w:p>
            <w:r>
              <w:rPr>
                <w:rFonts w:ascii="Arial" w:cs="Arial" w:eastAsia="Arial" w:hAnsi="Arial"/>
                <w:b/>
                <w:bCs/>
                <w:sz w:val="20"/>
                <w:szCs w:val="20"/>
              </w:rPr>
              <w:t xml:space="preserve">Expenses</w:t>
            </w:r>
          </w:p>
        </w:tc>
        <w:tc>
          <w:tcPr>
            <w:tcW w:type="dxa" w:w="900"/>
            <w:shd w:fill="EDEDED" w:color="auto" w:val="clear"/>
            <w:tcMar>
              <w:top w:type="dxa" w:w="30"/>
              <w:left w:type="dxa" w:w="60"/>
              <w:bottom w:type="dxa" w:w="30"/>
              <w:right w:type="dxa" w:w="60"/>
            </w:tcMar>
          </w:tcPr>
          <w:p>
            <w:r>
              <w:rPr>
                <w:rFonts w:ascii="Arial" w:cs="Arial" w:eastAsia="Arial" w:hAnsi="Arial"/>
                <w:b/>
                <w:bCs/>
                <w:sz w:val="20"/>
                <w:szCs w:val="20"/>
              </w:rPr>
              <w:t xml:space="preserve">Net</w:t>
            </w:r>
          </w:p>
        </w:tc>
        <w:tc>
          <w:tcPr>
            <w:tcW w:type="dxa" w:w="1100"/>
            <w:shd w:fill="EDEDED" w:color="auto" w:val="clear"/>
            <w:tcMar>
              <w:top w:type="dxa" w:w="30"/>
              <w:left w:type="dxa" w:w="60"/>
              <w:bottom w:type="dxa" w:w="30"/>
              <w:right w:type="dxa" w:w="60"/>
            </w:tcMar>
          </w:tcPr>
          <w:p>
            <w:r>
              <w:rPr>
                <w:rFonts w:ascii="Arial" w:cs="Arial" w:eastAsia="Arial" w:hAnsi="Arial"/>
                <w:b/>
                <w:bCs/>
                <w:sz w:val="20"/>
                <w:szCs w:val="20"/>
              </w:rPr>
              <w:t xml:space="preserve">Contrib. % rev</w:t>
            </w:r>
          </w:p>
        </w:tc>
        <w:tc>
          <w:tcPr>
            <w:tcW w:type="dxa" w:w="1000"/>
            <w:shd w:fill="EDEDED" w:color="auto" w:val="clear"/>
            <w:tcMar>
              <w:top w:type="dxa" w:w="30"/>
              <w:left w:type="dxa" w:w="60"/>
              <w:bottom w:type="dxa" w:w="30"/>
              <w:right w:type="dxa" w:w="60"/>
            </w:tcMar>
          </w:tcPr>
          <w:p>
            <w:r>
              <w:rPr>
                <w:rFonts w:ascii="Arial" w:cs="Arial" w:eastAsia="Arial" w:hAnsi="Arial"/>
                <w:b/>
                <w:bCs/>
                <w:sz w:val="20"/>
                <w:szCs w:val="20"/>
              </w:rPr>
              <w:t xml:space="preserve">Allocated</w:t>
            </w:r>
          </w:p>
        </w:tc>
        <w:tc>
          <w:tcPr>
            <w:tcW w:type="dxa" w:w="1000"/>
            <w:shd w:fill="EDEDED" w:color="auto" w:val="clear"/>
            <w:tcMar>
              <w:top w:type="dxa" w:w="30"/>
              <w:left w:type="dxa" w:w="60"/>
              <w:bottom w:type="dxa" w:w="30"/>
              <w:right w:type="dxa" w:w="60"/>
            </w:tcMar>
          </w:tcPr>
          <w:p>
            <w:r>
              <w:rPr>
                <w:rFonts w:ascii="Arial" w:cs="Arial" w:eastAsia="Arial" w:hAnsi="Arial"/>
                <w:b/>
                <w:bCs/>
                <w:sz w:val="20"/>
                <w:szCs w:val="20"/>
              </w:rPr>
              <w:t xml:space="preserve">Net ex-allocated</w:t>
            </w:r>
          </w:p>
        </w:tc>
        <w:tc>
          <w:tcPr>
            <w:tcW w:type="dxa" w:w="760"/>
            <w:shd w:fill="EDEDED" w:color="auto" w:val="clear"/>
            <w:tcMar>
              <w:top w:type="dxa" w:w="30"/>
              <w:left w:type="dxa" w:w="60"/>
              <w:bottom w:type="dxa" w:w="30"/>
              <w:right w:type="dxa" w:w="60"/>
            </w:tcMar>
          </w:tcPr>
          <w:p>
            <w:r>
              <w:rPr>
                <w:rFonts w:ascii="Arial" w:cs="Arial" w:eastAsia="Arial" w:hAnsi="Arial"/>
                <w:b/>
                <w:bCs/>
                <w:sz w:val="20"/>
                <w:szCs w:val="20"/>
              </w:rPr>
              <w:t xml:space="preserve">Source</w:t>
            </w:r>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Texas</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352.5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375.9</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-23.3</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47.6%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-23.3</w:t>
            </w:r>
          </w:p>
        </w:tc>
        <w:tc>
          <w:tcPr>
            <w:tcW w:type="dxa" w:w="760"/>
            <w:tcMar>
              <w:top w:type="dxa" w:w="30"/>
              <w:left w:type="dxa" w:w="60"/>
              <w:bottom w:type="dxa" w:w="30"/>
              <w:right w:type="dxa" w:w="60"/>
            </w:tcMar>
          </w:tcPr>
          <w:p>
            <w:hyperlink w:history="1" r:id="rIdcmhk_yoeovxtryuutxao-">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Ohio State</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336.1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320.4</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15.7</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20.3%</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15.6</w:t>
            </w:r>
          </w:p>
        </w:tc>
        <w:tc>
          <w:tcPr>
            <w:tcW w:type="dxa" w:w="760"/>
            <w:tcMar>
              <w:top w:type="dxa" w:w="30"/>
              <w:left w:type="dxa" w:w="60"/>
              <w:bottom w:type="dxa" w:w="30"/>
              <w:right w:type="dxa" w:w="60"/>
            </w:tcMar>
          </w:tcPr>
          <w:p>
            <w:hyperlink w:history="1" r:id="rIdc48bkuczk7pt9kn9oo3wx">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Tennessee</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304.1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288.2</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15.9</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36.4%</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8.1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7.8</w:t>
            </w:r>
          </w:p>
        </w:tc>
        <w:tc>
          <w:tcPr>
            <w:tcW w:type="dxa" w:w="760"/>
            <w:tcMar>
              <w:top w:type="dxa" w:w="30"/>
              <w:left w:type="dxa" w:w="60"/>
              <w:bottom w:type="dxa" w:w="30"/>
              <w:right w:type="dxa" w:w="60"/>
            </w:tcMar>
          </w:tcPr>
          <w:p>
            <w:hyperlink w:history="1" r:id="rIdedlfy9pcxypmnhe9zxjxq">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Michigan</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275.8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261.6</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14.3</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18.0%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14.0</w:t>
            </w:r>
          </w:p>
        </w:tc>
        <w:tc>
          <w:tcPr>
            <w:tcW w:type="dxa" w:w="760"/>
            <w:tcMar>
              <w:top w:type="dxa" w:w="30"/>
              <w:left w:type="dxa" w:w="60"/>
              <w:bottom w:type="dxa" w:w="30"/>
              <w:right w:type="dxa" w:w="60"/>
            </w:tcMar>
          </w:tcPr>
          <w:p>
            <w:hyperlink w:history="1" r:id="rIdib9acvnf2ts3vvrtclx6s">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Alabama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267.4</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234.7</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32.7</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25.0%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30.0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2.7</w:t>
            </w:r>
          </w:p>
        </w:tc>
        <w:tc>
          <w:tcPr>
            <w:tcW w:type="dxa" w:w="760"/>
            <w:tcMar>
              <w:top w:type="dxa" w:w="30"/>
              <w:left w:type="dxa" w:w="60"/>
              <w:bottom w:type="dxa" w:w="30"/>
              <w:right w:type="dxa" w:w="60"/>
            </w:tcMar>
          </w:tcPr>
          <w:p>
            <w:hyperlink w:history="1" r:id="rIdbgfyyjajdhtrehloawvnq">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Penn State</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254.9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254.6</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0.2</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25.3%</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0.2</w:t>
            </w:r>
          </w:p>
        </w:tc>
        <w:tc>
          <w:tcPr>
            <w:tcW w:type="dxa" w:w="760"/>
            <w:tcMar>
              <w:top w:type="dxa" w:w="30"/>
              <w:left w:type="dxa" w:w="60"/>
              <w:bottom w:type="dxa" w:w="30"/>
              <w:right w:type="dxa" w:w="60"/>
            </w:tcMar>
          </w:tcPr>
          <w:p>
            <w:hyperlink w:history="1" r:id="rIdoyhri-oel-wxdbiww55vg">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Texas A&amp;M</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235.5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228.4</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7.2</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5.0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2.2</w:t>
            </w:r>
          </w:p>
        </w:tc>
        <w:tc>
          <w:tcPr>
            <w:tcW w:type="dxa" w:w="760"/>
            <w:tcMar>
              <w:top w:type="dxa" w:w="30"/>
              <w:left w:type="dxa" w:w="60"/>
              <w:bottom w:type="dxa" w:w="30"/>
              <w:right w:type="dxa" w:w="60"/>
            </w:tcMar>
          </w:tcPr>
          <w:p>
            <w:hyperlink w:history="1" r:id="rIdvd3r7f-tmoohdnv_9b9au">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Georgia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233.5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240.1</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-6.6</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22.3%</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-10.5</w:t>
            </w:r>
          </w:p>
        </w:tc>
        <w:tc>
          <w:tcPr>
            <w:tcW w:type="dxa" w:w="760"/>
            <w:tcMar>
              <w:top w:type="dxa" w:w="30"/>
              <w:left w:type="dxa" w:w="60"/>
              <w:bottom w:type="dxa" w:w="30"/>
              <w:right w:type="dxa" w:w="60"/>
            </w:tcMar>
          </w:tcPr>
          <w:p>
            <w:hyperlink w:history="1" r:id="rIddsuroa1gv0dcpqephoyxh">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LSU</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223.5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219.6</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3.8</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29.4%</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3.8</w:t>
            </w:r>
          </w:p>
        </w:tc>
        <w:tc>
          <w:tcPr>
            <w:tcW w:type="dxa" w:w="760"/>
            <w:tcMar>
              <w:top w:type="dxa" w:w="30"/>
              <w:left w:type="dxa" w:w="60"/>
              <w:bottom w:type="dxa" w:w="30"/>
              <w:right w:type="dxa" w:w="60"/>
            </w:tcMar>
          </w:tcPr>
          <w:p>
            <w:hyperlink w:history="1" r:id="rId6ea4ilw5q6r1mxp9pbm1s">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Florida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221.0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201.0</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20.0</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22.5%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n/a</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n/a</w:t>
            </w:r>
          </w:p>
        </w:tc>
        <w:tc>
          <w:tcPr>
            <w:tcW w:type="dxa" w:w="760"/>
            <w:tcMar>
              <w:top w:type="dxa" w:w="30"/>
              <w:left w:type="dxa" w:w="60"/>
              <w:bottom w:type="dxa" w:w="30"/>
              <w:right w:type="dxa" w:w="60"/>
            </w:tcMar>
          </w:tcPr>
          <w:p>
            <w:hyperlink w:history="1" r:id="rId8q2vrj8mjgtxggk0vykic">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Nebraska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215.1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207.7</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7.3</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22.4%</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7.3</w:t>
            </w:r>
          </w:p>
        </w:tc>
        <w:tc>
          <w:tcPr>
            <w:tcW w:type="dxa" w:w="760"/>
            <w:tcMar>
              <w:top w:type="dxa" w:w="30"/>
              <w:left w:type="dxa" w:w="60"/>
              <w:bottom w:type="dxa" w:w="30"/>
              <w:right w:type="dxa" w:w="60"/>
            </w:tcMar>
          </w:tcPr>
          <w:p>
            <w:hyperlink w:history="1" r:id="rIdve2meycwqi_uvjoqg1w4l">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Florida State</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ACC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212.0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208.2</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3.8</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26.2%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42.5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-38.7</w:t>
            </w:r>
          </w:p>
        </w:tc>
        <w:tc>
          <w:tcPr>
            <w:tcW w:type="dxa" w:w="760"/>
            <w:tcMar>
              <w:top w:type="dxa" w:w="30"/>
              <w:left w:type="dxa" w:w="60"/>
              <w:bottom w:type="dxa" w:w="30"/>
              <w:right w:type="dxa" w:w="60"/>
            </w:tcMar>
          </w:tcPr>
          <w:p>
            <w:hyperlink w:history="1" r:id="rIddx_ltt0kf3td_bxjnbioo">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Auburn</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205.9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203.8</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2.1</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27.4%</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n/a</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n/a</w:t>
            </w:r>
          </w:p>
        </w:tc>
        <w:tc>
          <w:tcPr>
            <w:tcW w:type="dxa" w:w="760"/>
            <w:tcMar>
              <w:top w:type="dxa" w:w="30"/>
              <w:left w:type="dxa" w:w="60"/>
              <w:bottom w:type="dxa" w:w="30"/>
              <w:right w:type="dxa" w:w="60"/>
            </w:tcMar>
          </w:tcPr>
          <w:p>
            <w:hyperlink w:history="1" r:id="rIdrxq_waggr6urnfboyphmt">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Oklahoma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205.7</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249.4</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-43.7</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45.2%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-43.7</w:t>
            </w:r>
          </w:p>
        </w:tc>
        <w:tc>
          <w:tcPr>
            <w:tcW w:type="dxa" w:w="760"/>
            <w:tcMar>
              <w:top w:type="dxa" w:w="30"/>
              <w:left w:type="dxa" w:w="60"/>
              <w:bottom w:type="dxa" w:w="30"/>
              <w:right w:type="dxa" w:w="60"/>
            </w:tcMar>
          </w:tcPr>
          <w:p>
            <w:hyperlink w:history="1" r:id="rIdp1kgiqvmy9j_hyftsfvr_">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South Carolina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204.6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203.3</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1.3</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8.6%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43.7</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-42.4</w:t>
            </w:r>
          </w:p>
        </w:tc>
        <w:tc>
          <w:tcPr>
            <w:tcW w:type="dxa" w:w="760"/>
            <w:tcMar>
              <w:top w:type="dxa" w:w="30"/>
              <w:left w:type="dxa" w:w="60"/>
              <w:bottom w:type="dxa" w:w="30"/>
              <w:right w:type="dxa" w:w="60"/>
            </w:tcMar>
          </w:tcPr>
          <w:p>
            <w:hyperlink w:history="1" r:id="rIduo29wkavlazwh-w8--r3w">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Clemson</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ACC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198.6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197.7</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0.9</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28.2%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20.2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-19.3</w:t>
            </w:r>
          </w:p>
        </w:tc>
        <w:tc>
          <w:tcPr>
            <w:tcW w:type="dxa" w:w="760"/>
            <w:tcMar>
              <w:top w:type="dxa" w:w="30"/>
              <w:left w:type="dxa" w:w="60"/>
              <w:bottom w:type="dxa" w:w="30"/>
              <w:right w:type="dxa" w:w="60"/>
            </w:tcMar>
          </w:tcPr>
          <w:p>
            <w:hyperlink w:history="1" r:id="rIdsosu7zbsrpn8vpsg445pj">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Wisconsin</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197.9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193.6</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4.3</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12.9%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10.4</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-6.1</w:t>
            </w:r>
          </w:p>
        </w:tc>
        <w:tc>
          <w:tcPr>
            <w:tcW w:type="dxa" w:w="760"/>
            <w:tcMar>
              <w:top w:type="dxa" w:w="30"/>
              <w:left w:type="dxa" w:w="60"/>
              <w:bottom w:type="dxa" w:w="30"/>
              <w:right w:type="dxa" w:w="60"/>
            </w:tcMar>
          </w:tcPr>
          <w:p>
            <w:hyperlink w:history="1" r:id="rIdudg1h0wguaa-ifi3a0xbr">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Arkansas</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195.9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184.1</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11.8</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18.9%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11.8</w:t>
            </w:r>
          </w:p>
        </w:tc>
        <w:tc>
          <w:tcPr>
            <w:tcW w:type="dxa" w:w="760"/>
            <w:tcMar>
              <w:top w:type="dxa" w:w="30"/>
              <w:left w:type="dxa" w:w="60"/>
              <w:bottom w:type="dxa" w:w="30"/>
              <w:right w:type="dxa" w:w="60"/>
            </w:tcMar>
          </w:tcPr>
          <w:p>
            <w:hyperlink w:history="1" r:id="rIdjx01bbrqowt1mcunp3act">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Illinois</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194.8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189.9</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4.9</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25.9%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11.6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-6.7</w:t>
            </w:r>
          </w:p>
        </w:tc>
        <w:tc>
          <w:tcPr>
            <w:tcW w:type="dxa" w:w="760"/>
            <w:tcMar>
              <w:top w:type="dxa" w:w="30"/>
              <w:left w:type="dxa" w:w="60"/>
              <w:bottom w:type="dxa" w:w="30"/>
              <w:right w:type="dxa" w:w="60"/>
            </w:tcMar>
          </w:tcPr>
          <w:p>
            <w:hyperlink w:history="1" r:id="rIdvsfuisjd1nqxhrcdlnrwg">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Oregon</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185.4</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183.0</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2.4</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17.8%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w:t>
            </w:r>
          </w:p>
        </w:tc>
        <w:tc>
          <w:tcPr>
            <w:tcW w:type="dxa" w:w="760"/>
            <w:tcMar>
              <w:top w:type="dxa" w:w="30"/>
              <w:left w:type="dxa" w:w="60"/>
              <w:bottom w:type="dxa" w:w="30"/>
              <w:right w:type="dxa" w:w="60"/>
            </w:tcMar>
          </w:tcPr>
          <w:p>
            <w:hyperlink w:history="1" r:id="rId_dj3thkvjahk_qkzu7f4q">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Kentucky</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185.1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188.5</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-3.5</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17.6%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-3.7</w:t>
            </w:r>
          </w:p>
        </w:tc>
        <w:tc>
          <w:tcPr>
            <w:tcW w:type="dxa" w:w="760"/>
            <w:tcMar>
              <w:top w:type="dxa" w:w="30"/>
              <w:left w:type="dxa" w:w="60"/>
              <w:bottom w:type="dxa" w:w="30"/>
              <w:right w:type="dxa" w:w="60"/>
            </w:tcMar>
          </w:tcPr>
          <w:p>
            <w:hyperlink w:history="1" r:id="rIdflbacxwoebr9wpfzhp3zt">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Indiana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183.4</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173.0</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10.4</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14.1%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27.9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-17.5</w:t>
            </w:r>
          </w:p>
        </w:tc>
        <w:tc>
          <w:tcPr>
            <w:tcW w:type="dxa" w:w="760"/>
            <w:tcMar>
              <w:top w:type="dxa" w:w="30"/>
              <w:left w:type="dxa" w:w="60"/>
              <w:bottom w:type="dxa" w:w="30"/>
              <w:right w:type="dxa" w:w="60"/>
            </w:tcMar>
          </w:tcPr>
          <w:p>
            <w:hyperlink w:history="1" r:id="rIdsdx8nuvblnqkg4djb4vwe">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Missouri</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181.9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191.0</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-9.1</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25.6%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28.2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-37.3</w:t>
            </w:r>
          </w:p>
        </w:tc>
        <w:tc>
          <w:tcPr>
            <w:tcW w:type="dxa" w:w="760"/>
            <w:tcMar>
              <w:top w:type="dxa" w:w="30"/>
              <w:left w:type="dxa" w:w="60"/>
              <w:bottom w:type="dxa" w:w="30"/>
              <w:right w:type="dxa" w:w="60"/>
            </w:tcMar>
          </w:tcPr>
          <w:p>
            <w:hyperlink w:history="1" r:id="rId9jax_y3h3vxh7jstm4-5l">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Iowa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180.0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173.4</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6.6</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17.0%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3.7</w:t>
            </w:r>
          </w:p>
        </w:tc>
        <w:tc>
          <w:tcPr>
            <w:tcW w:type="dxa" w:w="760"/>
            <w:tcMar>
              <w:top w:type="dxa" w:w="30"/>
              <w:left w:type="dxa" w:w="60"/>
              <w:bottom w:type="dxa" w:w="30"/>
              <w:right w:type="dxa" w:w="60"/>
            </w:tcMar>
          </w:tcPr>
          <w:p>
            <w:hyperlink w:history="1" r:id="rIdrmpc4de2gsabxshd9c33i">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Michigan State</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179.9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178.3</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1.6</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20.2%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7.7</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-6.1</w:t>
            </w:r>
          </w:p>
        </w:tc>
        <w:tc>
          <w:tcPr>
            <w:tcW w:type="dxa" w:w="760"/>
            <w:tcMar>
              <w:top w:type="dxa" w:w="30"/>
              <w:left w:type="dxa" w:w="60"/>
              <w:bottom w:type="dxa" w:w="30"/>
              <w:right w:type="dxa" w:w="60"/>
            </w:tcMar>
          </w:tcPr>
          <w:p>
            <w:hyperlink w:history="1" r:id="rIdb21pdye314odqapgo9l4p">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Ole Miss</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178.6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183.8</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-5.1</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26.4%</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5.7</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-10.9</w:t>
            </w:r>
          </w:p>
        </w:tc>
        <w:tc>
          <w:tcPr>
            <w:tcW w:type="dxa" w:w="760"/>
            <w:tcMar>
              <w:top w:type="dxa" w:w="30"/>
              <w:left w:type="dxa" w:w="60"/>
              <w:bottom w:type="dxa" w:w="30"/>
              <w:right w:type="dxa" w:w="60"/>
            </w:tcMar>
          </w:tcPr>
          <w:p>
            <w:hyperlink w:history="1" r:id="rIdvcbrokuj_saunoy2fjjui">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Washington</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178.5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184.4</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-5.9</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29.6%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10.8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-16.7</w:t>
            </w:r>
          </w:p>
        </w:tc>
        <w:tc>
          <w:tcPr>
            <w:tcW w:type="dxa" w:w="760"/>
            <w:tcMar>
              <w:top w:type="dxa" w:w="30"/>
              <w:left w:type="dxa" w:w="60"/>
              <w:bottom w:type="dxa" w:w="30"/>
              <w:right w:type="dxa" w:w="60"/>
            </w:tcMar>
          </w:tcPr>
          <w:p>
            <w:hyperlink w:history="1" r:id="rIdi_rax0nwre1wzhgayqw2j">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North Carolina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ACC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173.0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188.0</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-15.0</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22.9%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10.4</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-25.4</w:t>
            </w:r>
          </w:p>
        </w:tc>
        <w:tc>
          <w:tcPr>
            <w:tcW w:type="dxa" w:w="760"/>
            <w:tcMar>
              <w:top w:type="dxa" w:w="30"/>
              <w:left w:type="dxa" w:w="60"/>
              <w:bottom w:type="dxa" w:w="30"/>
              <w:right w:type="dxa" w:w="60"/>
            </w:tcMar>
          </w:tcPr>
          <w:p>
            <w:hyperlink w:history="1" r:id="rIdh02koxsaac6g7g5hw8-cd">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Arizona State</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166.1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164.7</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1.4</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13.2%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59.7</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-58.3</w:t>
            </w:r>
          </w:p>
        </w:tc>
        <w:tc>
          <w:tcPr>
            <w:tcW w:type="dxa" w:w="760"/>
            <w:tcMar>
              <w:top w:type="dxa" w:w="30"/>
              <w:left w:type="dxa" w:w="60"/>
              <w:bottom w:type="dxa" w:w="30"/>
              <w:right w:type="dxa" w:w="60"/>
            </w:tcMar>
          </w:tcPr>
          <w:p>
            <w:hyperlink w:history="1" r:id="rIdl_qyo5rnskwezfaf7ai99">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Mississippi State</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SEC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164.7</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164.5</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0.2</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35.9%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0.2</w:t>
            </w:r>
          </w:p>
        </w:tc>
        <w:tc>
          <w:tcPr>
            <w:tcW w:type="dxa" w:w="760"/>
            <w:tcMar>
              <w:top w:type="dxa" w:w="30"/>
              <w:left w:type="dxa" w:w="60"/>
              <w:bottom w:type="dxa" w:w="30"/>
              <w:right w:type="dxa" w:w="60"/>
            </w:tcMar>
          </w:tcPr>
          <w:p>
            <w:hyperlink w:history="1" r:id="rIdiisvlvrlum2jodj9nyfyg">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Minnesota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163.6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161.2</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2.4</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13.7%</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11.7</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-9.3</w:t>
            </w:r>
          </w:p>
        </w:tc>
        <w:tc>
          <w:tcPr>
            <w:tcW w:type="dxa" w:w="760"/>
            <w:tcMar>
              <w:top w:type="dxa" w:w="30"/>
              <w:left w:type="dxa" w:w="60"/>
              <w:bottom w:type="dxa" w:w="30"/>
              <w:right w:type="dxa" w:w="60"/>
            </w:tcMar>
          </w:tcPr>
          <w:p>
            <w:hyperlink w:history="1" r:id="rIdklsgpam2ncmfspdvd8ckh">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Colorado</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161.7</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161.5</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0.2</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11.6%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43.5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-43.3</w:t>
            </w:r>
          </w:p>
        </w:tc>
        <w:tc>
          <w:tcPr>
            <w:tcW w:type="dxa" w:w="760"/>
            <w:tcMar>
              <w:top w:type="dxa" w:w="30"/>
              <w:left w:type="dxa" w:w="60"/>
              <w:bottom w:type="dxa" w:w="30"/>
              <w:right w:type="dxa" w:w="60"/>
            </w:tcMar>
          </w:tcPr>
          <w:p>
            <w:hyperlink w:history="1" r:id="rIdwc14hawo5mdj9chislgls">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Virginia Tech</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ACC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161.2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156.1</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5.1</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24.0%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24.1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-19.0</w:t>
            </w:r>
          </w:p>
        </w:tc>
        <w:tc>
          <w:tcPr>
            <w:tcW w:type="dxa" w:w="760"/>
            <w:tcMar>
              <w:top w:type="dxa" w:w="30"/>
              <w:left w:type="dxa" w:w="60"/>
              <w:bottom w:type="dxa" w:w="30"/>
              <w:right w:type="dxa" w:w="60"/>
            </w:tcMar>
          </w:tcPr>
          <w:p>
            <w:hyperlink w:history="1" r:id="rIdy_lxwnln8vapz4fqznibu">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Virginia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ACC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155.1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162.1</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-6.9</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22.2%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37.2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-44.2</w:t>
            </w:r>
          </w:p>
        </w:tc>
        <w:tc>
          <w:tcPr>
            <w:tcW w:type="dxa" w:w="760"/>
            <w:tcMar>
              <w:top w:type="dxa" w:w="30"/>
              <w:left w:type="dxa" w:w="60"/>
              <w:bottom w:type="dxa" w:w="30"/>
              <w:right w:type="dxa" w:w="60"/>
            </w:tcMar>
          </w:tcPr>
          <w:p>
            <w:hyperlink w:history="1" r:id="rIdgfk7z3eeawvhwq20tn3u2">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UCLA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151.8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173.4</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-21.6</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8.8%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31.1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-52.7</w:t>
            </w:r>
          </w:p>
        </w:tc>
        <w:tc>
          <w:tcPr>
            <w:tcW w:type="dxa" w:w="760"/>
            <w:tcMar>
              <w:top w:type="dxa" w:w="30"/>
              <w:left w:type="dxa" w:w="60"/>
              <w:bottom w:type="dxa" w:w="30"/>
              <w:right w:type="dxa" w:w="60"/>
            </w:tcMar>
          </w:tcPr>
          <w:p>
            <w:hyperlink w:history="1" r:id="rIdtteiive1vh4mhskkwlkmz">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Oklahoma State</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150.8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156.1</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-5.3</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50.8%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-5.4</w:t>
            </w:r>
          </w:p>
        </w:tc>
        <w:tc>
          <w:tcPr>
            <w:tcW w:type="dxa" w:w="760"/>
            <w:tcMar>
              <w:top w:type="dxa" w:w="30"/>
              <w:left w:type="dxa" w:w="60"/>
              <w:bottom w:type="dxa" w:w="30"/>
              <w:right w:type="dxa" w:w="60"/>
            </w:tcMar>
          </w:tcPr>
          <w:p>
            <w:hyperlink w:history="1" r:id="rIdjuhnowx_krijknx6ykebo">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Purdue</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150.5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149.7</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0.9</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18.4%</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0.9</w:t>
            </w:r>
          </w:p>
        </w:tc>
        <w:tc>
          <w:tcPr>
            <w:tcW w:type="dxa" w:w="760"/>
            <w:tcMar>
              <w:top w:type="dxa" w:w="30"/>
              <w:left w:type="dxa" w:w="60"/>
              <w:bottom w:type="dxa" w:w="30"/>
              <w:right w:type="dxa" w:w="60"/>
            </w:tcMar>
          </w:tcPr>
          <w:p>
            <w:hyperlink w:history="1" r:id="rIdh13d33ff3voppghk66obc">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California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ACC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148.8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173.1</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-24.3</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13.7%</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43.1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-67.4</w:t>
            </w:r>
          </w:p>
        </w:tc>
        <w:tc>
          <w:tcPr>
            <w:tcW w:type="dxa" w:w="760"/>
            <w:tcMar>
              <w:top w:type="dxa" w:w="30"/>
              <w:left w:type="dxa" w:w="60"/>
              <w:bottom w:type="dxa" w:w="30"/>
              <w:right w:type="dxa" w:w="60"/>
            </w:tcMar>
          </w:tcPr>
          <w:p>
            <w:hyperlink w:history="1" r:id="rIdzuvycaf4bwenae_dlee4v">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Louisville</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ACC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146.9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160.4</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-13.5</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14.4%</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6.9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-20.4</w:t>
            </w:r>
          </w:p>
        </w:tc>
        <w:tc>
          <w:tcPr>
            <w:tcW w:type="dxa" w:w="760"/>
            <w:tcMar>
              <w:top w:type="dxa" w:w="30"/>
              <w:left w:type="dxa" w:w="60"/>
              <w:bottom w:type="dxa" w:w="30"/>
              <w:right w:type="dxa" w:w="60"/>
            </w:tcMar>
          </w:tcPr>
          <w:p>
            <w:hyperlink w:history="1" r:id="rId_2iddendgvfzavprcyear">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Rutgers</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146.6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193.8</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-47.2</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5.5%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30.8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-78.0</w:t>
            </w:r>
          </w:p>
        </w:tc>
        <w:tc>
          <w:tcPr>
            <w:tcW w:type="dxa" w:w="760"/>
            <w:tcMar>
              <w:top w:type="dxa" w:w="30"/>
              <w:left w:type="dxa" w:w="60"/>
              <w:bottom w:type="dxa" w:w="30"/>
              <w:right w:type="dxa" w:w="60"/>
            </w:tcMar>
          </w:tcPr>
          <w:p>
            <w:hyperlink w:history="1" r:id="rIdh0g4ay-vph-fsex6boese">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Texas Tech</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145.3</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144.4</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0.9</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29.4%</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-13.9</w:t>
            </w:r>
          </w:p>
        </w:tc>
        <w:tc>
          <w:tcPr>
            <w:tcW w:type="dxa" w:w="760"/>
            <w:tcMar>
              <w:top w:type="dxa" w:w="30"/>
              <w:left w:type="dxa" w:w="60"/>
              <w:bottom w:type="dxa" w:w="30"/>
              <w:right w:type="dxa" w:w="60"/>
            </w:tcMar>
          </w:tcPr>
          <w:p>
            <w:hyperlink w:history="1" r:id="rIddxmwj5pcralywfiuo3a0p">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Kansas</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143.9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148.4</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-4.5</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29.6%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-6.4</w:t>
            </w:r>
          </w:p>
        </w:tc>
        <w:tc>
          <w:tcPr>
            <w:tcW w:type="dxa" w:w="760"/>
            <w:tcMar>
              <w:top w:type="dxa" w:w="30"/>
              <w:left w:type="dxa" w:w="60"/>
              <w:bottom w:type="dxa" w:w="30"/>
              <w:right w:type="dxa" w:w="60"/>
            </w:tcMar>
          </w:tcPr>
          <w:p>
            <w:hyperlink w:history="1" r:id="rIdri_njjacgfv8rpycwlzbj">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Arizona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143.3</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142.9</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0.4</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20.5%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34.6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-34.2</w:t>
            </w:r>
          </w:p>
        </w:tc>
        <w:tc>
          <w:tcPr>
            <w:tcW w:type="dxa" w:w="760"/>
            <w:tcMar>
              <w:top w:type="dxa" w:w="30"/>
              <w:left w:type="dxa" w:w="60"/>
              <w:bottom w:type="dxa" w:w="30"/>
              <w:right w:type="dxa" w:w="60"/>
            </w:tcMar>
          </w:tcPr>
          <w:p>
            <w:hyperlink w:history="1" r:id="rIdxbgr_wogwglfa_1qln0en">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NC State</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ACC</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141.5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134.5</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7.0</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25.9%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17.1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-10.1</w:t>
            </w:r>
          </w:p>
        </w:tc>
        <w:tc>
          <w:tcPr>
            <w:tcW w:type="dxa" w:w="760"/>
            <w:tcMar>
              <w:top w:type="dxa" w:w="30"/>
              <w:left w:type="dxa" w:w="60"/>
              <w:bottom w:type="dxa" w:w="30"/>
              <w:right w:type="dxa" w:w="60"/>
            </w:tcMar>
          </w:tcPr>
          <w:p>
            <w:hyperlink w:history="1" r:id="rIdlx_r6ucowedzyny-l01c9">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Utah</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140.3</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135.6</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4.7</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35.3%</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12.6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-7.9</w:t>
            </w:r>
          </w:p>
        </w:tc>
        <w:tc>
          <w:tcPr>
            <w:tcW w:type="dxa" w:w="760"/>
            <w:tcMar>
              <w:top w:type="dxa" w:w="30"/>
              <w:left w:type="dxa" w:w="60"/>
              <w:bottom w:type="dxa" w:w="30"/>
              <w:right w:type="dxa" w:w="60"/>
            </w:tcMar>
          </w:tcPr>
          <w:p>
            <w:hyperlink w:history="1" r:id="rId7z18a6p0dffbm093vusob">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West Virginia</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128.1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130.7</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-2.6</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24.5%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8.1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-10.7</w:t>
            </w:r>
          </w:p>
        </w:tc>
        <w:tc>
          <w:tcPr>
            <w:tcW w:type="dxa" w:w="760"/>
            <w:tcMar>
              <w:top w:type="dxa" w:w="30"/>
              <w:left w:type="dxa" w:w="60"/>
              <w:bottom w:type="dxa" w:w="30"/>
              <w:right w:type="dxa" w:w="60"/>
            </w:tcMar>
          </w:tcPr>
          <w:p>
            <w:hyperlink w:history="1" r:id="rIdvjhgrw09wrbdbeyu2i1ej">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Maryland</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Ten</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124.0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128.7</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-4.7</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9.1%</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18.7</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-23.3</w:t>
            </w:r>
          </w:p>
        </w:tc>
        <w:tc>
          <w:tcPr>
            <w:tcW w:type="dxa" w:w="760"/>
            <w:tcMar>
              <w:top w:type="dxa" w:w="30"/>
              <w:left w:type="dxa" w:w="60"/>
              <w:bottom w:type="dxa" w:w="30"/>
              <w:right w:type="dxa" w:w="60"/>
            </w:tcMar>
          </w:tcPr>
          <w:p>
            <w:hyperlink w:history="1" r:id="rIdnznni6olcjbhqchqwbmac">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Cincinnati</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118.5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119.3</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-0.8</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14.7%</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51.7</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-52.6</w:t>
            </w:r>
          </w:p>
        </w:tc>
        <w:tc>
          <w:tcPr>
            <w:tcW w:type="dxa" w:w="760"/>
            <w:tcMar>
              <w:top w:type="dxa" w:w="30"/>
              <w:left w:type="dxa" w:w="60"/>
              <w:bottom w:type="dxa" w:w="30"/>
              <w:right w:type="dxa" w:w="60"/>
            </w:tcMar>
          </w:tcPr>
          <w:p>
            <w:hyperlink w:history="1" r:id="rIdxb1o8ps3o-kv-im1vqlis">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Iowa State</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118.0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118.0</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0.0</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24.2%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-1.8</w:t>
            </w:r>
          </w:p>
        </w:tc>
        <w:tc>
          <w:tcPr>
            <w:tcW w:type="dxa" w:w="760"/>
            <w:tcMar>
              <w:top w:type="dxa" w:w="30"/>
              <w:left w:type="dxa" w:w="60"/>
              <w:bottom w:type="dxa" w:w="30"/>
              <w:right w:type="dxa" w:w="60"/>
            </w:tcMar>
          </w:tcPr>
          <w:p>
            <w:hyperlink w:history="1" r:id="rIdm6to70rg9aoxolnhlcpdp">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Kansas State</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116.3</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103.7</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12.6</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34.5%</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0.0</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12.6</w:t>
            </w:r>
          </w:p>
        </w:tc>
        <w:tc>
          <w:tcPr>
            <w:tcW w:type="dxa" w:w="760"/>
            <w:tcMar>
              <w:top w:type="dxa" w:w="30"/>
              <w:left w:type="dxa" w:w="60"/>
              <w:bottom w:type="dxa" w:w="30"/>
              <w:right w:type="dxa" w:w="60"/>
            </w:tcMar>
          </w:tcPr>
          <w:p>
            <w:hyperlink w:history="1" r:id="rIduu8lttombdthhvl019sqf">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UCF</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108.9</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103.6</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5.3</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25.6%</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36.8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-31.6</w:t>
            </w:r>
          </w:p>
        </w:tc>
        <w:tc>
          <w:tcPr>
            <w:tcW w:type="dxa" w:w="760"/>
            <w:tcMar>
              <w:top w:type="dxa" w:w="30"/>
              <w:left w:type="dxa" w:w="60"/>
              <w:bottom w:type="dxa" w:w="30"/>
              <w:right w:type="dxa" w:w="60"/>
            </w:tcMar>
          </w:tcPr>
          <w:p>
            <w:hyperlink w:history="1" r:id="rIdlzpofriicpliee6ym-mqh">
              <w:r>
                <w:rPr>
                  <w:rFonts w:ascii="Arial" w:cs="Arial" w:eastAsia="Arial" w:hAnsi="Arial"/>
                  <w:sz w:val="20"/>
                  <w:szCs w:val="20"/>
                  <w:u w:val="single"/>
                </w:rPr>
                <w:t xml:space="preserve">link</w:t>
              </w:r>
            </w:hyperlink>
          </w:p>
        </w:tc>
      </w:tr>
      <w:tr>
        <w:tc>
          <w:tcPr>
            <w:tcW w:type="dxa" w:w="1700"/>
            <w:tcMar>
              <w:top w:type="dxa" w:w="30"/>
              <w:left w:type="dxa" w:w="60"/>
              <w:bottom w:type="dxa" w:w="30"/>
              <w:right w:type="dxa" w:w="60"/>
            </w:tcMar>
          </w:tcPr>
          <w:p>
            <w:r>
              <w:rPr>
                <w:rFonts w:ascii="Arial" w:cs="Arial" w:eastAsia="Arial" w:hAnsi="Arial"/>
                <w:b w:val="false"/>
                <w:bCs w:val="false"/>
                <w:sz w:val="20"/>
                <w:szCs w:val="20"/>
              </w:rPr>
              <w:t xml:space="preserve">Houston</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Big 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92.8</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98.9</w:t>
            </w:r>
          </w:p>
        </w:tc>
        <w:tc>
          <w:tcPr>
            <w:tcW w:type="dxa" w:w="900"/>
            <w:tcMar>
              <w:top w:type="dxa" w:w="30"/>
              <w:left w:type="dxa" w:w="60"/>
              <w:bottom w:type="dxa" w:w="30"/>
              <w:right w:type="dxa" w:w="60"/>
            </w:tcMar>
          </w:tcPr>
          <w:p>
            <w:r>
              <w:rPr>
                <w:rFonts w:ascii="Arial" w:cs="Arial" w:eastAsia="Arial" w:hAnsi="Arial"/>
                <w:b w:val="false"/>
                <w:bCs w:val="false"/>
                <w:sz w:val="20"/>
                <w:szCs w:val="20"/>
              </w:rPr>
              <w:t xml:space="preserve">-6.1</w:t>
            </w:r>
          </w:p>
        </w:tc>
        <w:tc>
          <w:tcPr>
            <w:tcW w:type="dxa" w:w="1100"/>
            <w:tcMar>
              <w:top w:type="dxa" w:w="30"/>
              <w:left w:type="dxa" w:w="60"/>
              <w:bottom w:type="dxa" w:w="30"/>
              <w:right w:type="dxa" w:w="60"/>
            </w:tcMar>
          </w:tcPr>
          <w:p>
            <w:r>
              <w:rPr>
                <w:rFonts w:ascii="Arial" w:cs="Arial" w:eastAsia="Arial" w:hAnsi="Arial"/>
                <w:b w:val="false"/>
                <w:bCs w:val="false"/>
                <w:sz w:val="20"/>
                <w:szCs w:val="20"/>
              </w:rPr>
              <w:t xml:space="preserve">16.3%</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41.2</w:t>
            </w:r>
          </w:p>
        </w:tc>
        <w:tc>
          <w:tcPr>
            <w:tcW w:type="dxa" w:w="1000"/>
            <w:tcMar>
              <w:top w:type="dxa" w:w="30"/>
              <w:left w:type="dxa" w:w="60"/>
              <w:bottom w:type="dxa" w:w="30"/>
              <w:right w:type="dxa" w:w="60"/>
            </w:tcMar>
          </w:tcPr>
          <w:p>
            <w:r>
              <w:rPr>
                <w:rFonts w:ascii="Arial" w:cs="Arial" w:eastAsia="Arial" w:hAnsi="Arial"/>
                <w:b w:val="false"/>
                <w:bCs w:val="false"/>
                <w:sz w:val="20"/>
                <w:szCs w:val="20"/>
              </w:rPr>
              <w:t xml:space="preserve">-47.3</w:t>
            </w:r>
          </w:p>
        </w:tc>
        <w:tc>
          <w:tcPr>
            <w:tcW w:type="dxa" w:w="760"/>
            <w:tcMar>
              <w:top w:type="dxa" w:w="30"/>
              <w:left w:type="dxa" w:w="60"/>
              <w:bottom w:type="dxa" w:w="30"/>
              <w:right w:type="dxa" w:w="60"/>
            </w:tcMar>
          </w:tcPr>
          <w:p>
            <w:hyperlink w:history="1" r:id="rId5z5wwlbgy6xrpksf5y6jp">
              <w:r>
                <w:rPr>
                  <w:rFonts w:ascii="Arial" w:cs="Arial" w:eastAsia="Arial" w:hAnsi="Arial"/>
                  <w:sz w:val="20"/>
                  <w:szCs w:val="20"/>
                  <w:u w:val="single"/>
                </w:rPr>
                <w:t xml:space="preserve">link</w:t>
              </w:r>
            </w:hyperlink>
          </w:p>
        </w:tc>
      </w:tr>
    </w:tbl>
    <w:p>
      <w:pPr>
        <w:spacing w:before="120"/>
      </w:pPr>
      <w:r>
        <w:rPr>
          <w:rFonts w:ascii="Arial" w:cs="Arial" w:eastAsia="Arial" w:hAnsi="Arial"/>
          <w:i w:val="false"/>
          <w:iCs w:val="false"/>
          <w:sz w:val="20"/>
          <w:szCs w:val="20"/>
        </w:rPr>
        <w:t xml:space="preserve">Rows marked via College Sports Finance are that site's transcription of the school's NCAA report; Indiana is from its primary report; Auburn, Florida and Rutgers are from newspaper coverage of their reports and are rounded. Allocated support is blank for Auburn and Florida and partial for Rutgers. FY2025 Georgia Tech and all private schools are unavailable.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o"/>
      <w:lvlJc w:val="left"/>
      <w:pPr>
        <w:ind w:left="72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savl5fu77ydk47dxoluy" Type="http://schemas.openxmlformats.org/officeDocument/2006/relationships/hyperlink" Target="https://college-sports-finance.com/conference/sec" TargetMode="External"/><Relationship Id="rIds27bvteleuwey4jimqh_o" Type="http://schemas.openxmlformats.org/officeDocument/2006/relationships/hyperlink" Target="https://college-sports-finance.com/conference/big-ten" TargetMode="External"/><Relationship Id="rIdpvwwktyrabbkgz9da8ogv" Type="http://schemas.openxmlformats.org/officeDocument/2006/relationships/hyperlink" Target="https://college-sports-finance.com/conference/big-12" TargetMode="External"/><Relationship Id="rIdsxf0puecxwd3fpc0-yksi" Type="http://schemas.openxmlformats.org/officeDocument/2006/relationships/hyperlink" Target="https://college-sports-finance.com/conference/acc" TargetMode="External"/><Relationship Id="rIdp_kdorsijm2j3vrkscpcp" Type="http://schemas.openxmlformats.org/officeDocument/2006/relationships/hyperlink" Target="https://utahutes.com/documents/download/2026/1/21/FY25_NCAA_Revenue_and_Expense_Report.pdf" TargetMode="External"/><Relationship Id="rId8l5ixi0p4loka8pnzrqw8" Type="http://schemas.openxmlformats.org/officeDocument/2006/relationships/hyperlink" Target="https://utsports.com/documents/download/2026/1/15/FY25_NCAA_AUP.pdf" TargetMode="External"/><Relationship Id="rIdlik_bkdshnieq5i2rwnqk" Type="http://schemas.openxmlformats.org/officeDocument/2006/relationships/hyperlink" Target="https://npr.brightspotcdn.com/f8/cd/6f6273e141998c6ff6b63178b250/2025-ncaa-frs-report.pdf" TargetMode="External"/><Relationship Id="rIdm8fsnaxideadrqt-vsvgn" Type="http://schemas.openxmlformats.org/officeDocument/2006/relationships/hyperlink" Target="https://ncaaorg.s3.amazonaws.com/research/Finances/2025D1RES_DI-RevExpReport_Final.pdf" TargetMode="External"/><Relationship Id="rId_buzac5tiqr9kntsx5rxz" Type="http://schemas.openxmlformats.org/officeDocument/2006/relationships/hyperlink" Target="https://www.knightcommission.org/wp-content/uploads/KNAD_database_information_FY2025.pdf" TargetMode="External"/><Relationship Id="rIdjztnn-k9l5lonm6beicjm" Type="http://schemas.openxmlformats.org/officeDocument/2006/relationships/hyperlink" Target="https://ncaaorg.s3.amazonaws.com/research/Finances/2025D1RES_DI-RevExpReport_Final.pdf" TargetMode="External"/><Relationship Id="rIdzn3b06nn7lcl3xpuj7nrh" Type="http://schemas.openxmlformats.org/officeDocument/2006/relationships/hyperlink" Target="https://www.knightcommission.org/wp-content/uploads/KNAD_database_information_FY2025.pdf" TargetMode="External"/><Relationship Id="rIduyszpjlbgdrkh3tb3xojj" Type="http://schemas.openxmlformats.org/officeDocument/2006/relationships/hyperlink" Target="https://www.thedrakegroup.org/wp-content/uploads/2026/08/FINL-APPENDIX-B-08.21.26.pdf" TargetMode="External"/><Relationship Id="rIdlvkjkgwo02-ett8lx2iqb" Type="http://schemas.openxmlformats.org/officeDocument/2006/relationships/hyperlink" Target="https://college-sports-finance.com/conference/sec" TargetMode="External"/><Relationship Id="rIdmsw2i2uizu_hferr8yzhk" Type="http://schemas.openxmlformats.org/officeDocument/2006/relationships/hyperlink" Target="https://college-sports-finance.com/conference/big-ten" TargetMode="External"/><Relationship Id="rIdbcko8y2h5bn5wx-ifepvl" Type="http://schemas.openxmlformats.org/officeDocument/2006/relationships/hyperlink" Target="https://www.cantwell.senate.gov/imo/media/doc/spiraling_college_sports_costs_snapshot2.pdf" TargetMode="External"/><Relationship Id="rIdejukokof6kco6x_5e8ubu" Type="http://schemas.openxmlformats.org/officeDocument/2006/relationships/hyperlink" Target="https://cardinalnews.org/2026/09/04/college-sports-are-awash-in-more-money-than-ever-yet-a-growing-number-of-schools-are-losing-money-on-intercollegiate-athletics/" TargetMode="External"/><Relationship Id="rIdqg0sa4n0qop4wq4mlq_tl" Type="http://schemas.openxmlformats.org/officeDocument/2006/relationships/hyperlink" Target="https://nil-ncaa.com/" TargetMode="External"/><Relationship Id="rIdxw-tov9qclt0jm0mzu-nl" Type="http://schemas.openxmlformats.org/officeDocument/2006/relationships/hyperlink" Target="https://www.thedrakegroup.org/wp-content/uploads/2026/08/FINL-APPENDIX-B-08.21.26.pdf" TargetMode="External"/><Relationship Id="rIdichgoe8-47x7hffkxm8js" Type="http://schemas.openxmlformats.org/officeDocument/2006/relationships/hyperlink" Target="https://ncaaorg.s3.amazonaws.com/research/Finances/2025D1RES_DI-RevExpReport_Final.pdf" TargetMode="External"/><Relationship Id="rIdybaoa7rkcvvq_ckc5s_we" Type="http://schemas.openxmlformats.org/officeDocument/2006/relationships/hyperlink" Target="https://www.gao.gov/assets/gao-26-108640.pdf" TargetMode="External"/><Relationship Id="rId2m4lsgvqtdkez1vvq0ylf" Type="http://schemas.openxmlformats.org/officeDocument/2006/relationships/hyperlink" Target="https://college-sports-finance.com/conference/big-12" TargetMode="External"/><Relationship Id="rId0irlliitrsrln402awd9c" Type="http://schemas.openxmlformats.org/officeDocument/2006/relationships/hyperlink" Target="https://college-sports-finance.com/conference/acc" TargetMode="External"/><Relationship Id="rIdo94d5ondr5v6pdos8yuwb" Type="http://schemas.openxmlformats.org/officeDocument/2006/relationships/hyperlink" Target="https://www.cantwell.senate.gov/imo/media/doc/spiraling_college_sports_costs_snapshot2.pdf" TargetMode="External"/><Relationship Id="rIdmnhrnrlrw_64kbrq7j0sz" Type="http://schemas.openxmlformats.org/officeDocument/2006/relationships/hyperlink" Target="https://www.nj.com/rutgers/2026/01/rutgers-athletics-deficit-hit-record-78-million-in-2024-25-new-ad-says-its-got-to-get-better.html" TargetMode="External"/><Relationship Id="rIdipigkdzqa8qekcukgfhqt" Type="http://schemas.openxmlformats.org/officeDocument/2006/relationships/hyperlink" Target="https://247sports.com/college/oklahoma/article/oklahoma-ncaa-financial-report-for-2025-fiscal-year-sooners-first-in-sec-272740382/" TargetMode="External"/><Relationship Id="rIdqopkwrn-m97rsmp9wxrky" Type="http://schemas.openxmlformats.org/officeDocument/2006/relationships/hyperlink" Target="https://www.cbssports.com/college-football/news/ucla-money-problems-donors-martin-jarmond-firing-athletic-director/" TargetMode="External"/><Relationship Id="rIdar6h63_lyayacapipskwl" Type="http://schemas.openxmlformats.org/officeDocument/2006/relationships/hyperlink" Target="https://sports.yahoo.com/articles/alabama-athletics-revenue-spending-stacks-101116089.html" TargetMode="External"/><Relationship Id="rId-vnapomrjkragaozbjywd" Type="http://schemas.openxmlformats.org/officeDocument/2006/relationships/hyperlink" Target="https://www.footballscoop.com/2026/09/24/lsu-athletics-projects-26-million-deficit-after-44-million-deficit-last-year-president-says-program-must-stop-that-bleeding" TargetMode="External"/><Relationship Id="rIdibwg0yao052rlknlm4jua" Type="http://schemas.openxmlformats.org/officeDocument/2006/relationships/hyperlink" Target="https://www.aol.com/articles/colorado-financial-report-shows-limits-095241132.html" TargetMode="External"/><Relationship Id="rIdvdaosrxjzaerbkhijr1me" Type="http://schemas.openxmlformats.org/officeDocument/2006/relationships/hyperlink" Target="https://www.union-bulletin.com/sports/college_sports/university_of_washington/here-s-what-uw-s-athletic-department-budget-looks-like-for-2026/article_c658300c-4ee2-575c-abb0-60128bd81a12.html" TargetMode="External"/><Relationship Id="rIdl4jf7a4uymk4p5nprv7wj" Type="http://schemas.openxmlformats.org/officeDocument/2006/relationships/hyperlink" Target="https://sports.yahoo.com/articles/ku-athletics-board-approves-13-103000239.html" TargetMode="External"/><Relationship Id="rId8nexh6ikfxbbjcztywtdj" Type="http://schemas.openxmlformats.org/officeDocument/2006/relationships/hyperlink" Target="https://www.wdrb.com/sports/louisville-athletics-projects-a-12-5-million-deficit-in-1st-budget-of-revenue-sharing-era/article_071eb72d-f599-45c0-90fe-26af47608af9.html" TargetMode="External"/><Relationship Id="rIdoespt41rxwhjn1ymfag2h" Type="http://schemas.openxmlformats.org/officeDocument/2006/relationships/hyperlink" Target="https://sports.yahoo.com/articles/gophers-athletics-forecasts-another-9-150200514.html" TargetMode="External"/><Relationship Id="rId3st8lxncib9vkiyni0-fq" Type="http://schemas.openxmlformats.org/officeDocument/2006/relationships/hyperlink" Target="https://mgoblue.com/news/2025/6/12/general-michigan-athletics-projects-balanced-budget-for-fiscal-year-2026" TargetMode="External"/><Relationship Id="rId9v-sncjvdodsjyvdcochf" Type="http://schemas.openxmlformats.org/officeDocument/2006/relationships/hyperlink" Target="https://www.thedrakegroup.org/wp-content/uploads/2026/08/FINL-APPENDIX-B-08.21.26.pdf" TargetMode="External"/><Relationship Id="rId12o9jgswllscla0ogzwge" Type="http://schemas.openxmlformats.org/officeDocument/2006/relationships/hyperlink" Target="https://college-sports-finance.com/conference/sec" TargetMode="External"/><Relationship Id="rId-d2-pkg7z-5chv6c87x6b" Type="http://schemas.openxmlformats.org/officeDocument/2006/relationships/hyperlink" Target="https://ncaaorg.s3.amazonaws.com/research/Finances/2025D1RES_DI-RevExpReport_Final.pdf" TargetMode="External"/><Relationship Id="rIdp_fwt1ug3uluhhn8l2btn" Type="http://schemas.openxmlformats.org/officeDocument/2006/relationships/hyperlink" Target="https://www.gao.gov/assets/gao-26-108640.pdf" TargetMode="External"/><Relationship Id="rIdqxhuk00dgzot1cpykg1g0" Type="http://schemas.openxmlformats.org/officeDocument/2006/relationships/hyperlink" Target="https://www.cbssports.com/college-football/news/ucla-money-problems-donors-martin-jarmond-firing-athletic-director/" TargetMode="External"/><Relationship Id="rIdnw2q9gdd9sn8ynfoitzjv" Type="http://schemas.openxmlformats.org/officeDocument/2006/relationships/hyperlink" Target="https://college-sports-finance.com/conference/big-ten" TargetMode="External"/><Relationship Id="rIdwhtqjziq0ikuzbc5erdts" Type="http://schemas.openxmlformats.org/officeDocument/2006/relationships/hyperlink" Target="https://college-sports-finance.com/conference/big-12" TargetMode="External"/><Relationship Id="rIdfx9out1m9ajsm8sjemega" Type="http://schemas.openxmlformats.org/officeDocument/2006/relationships/hyperlink" Target="https://247sports.com/college/oklahoma/article/oklahoma-ncaa-financial-report-for-2025-fiscal-year-sooners-first-in-sec-272740382/" TargetMode="External"/><Relationship Id="rIdmdszd3w44fnbmjkd84a5q" Type="http://schemas.openxmlformats.org/officeDocument/2006/relationships/hyperlink" Target="https://news.osu.edu/ohio-state-athletics-sets-record-with-336m-in-fy25-revenue-after-national-championship-season/" TargetMode="External"/><Relationship Id="rIdw3fxhvoime6hiqhx-gj0j" Type="http://schemas.openxmlformats.org/officeDocument/2006/relationships/hyperlink" Target="https://247sports.com/college/oklahoma/article/oklahoma-ncaa-financial-report-for-2025-fiscal-year-sooners-first-in-sec-272740382/" TargetMode="External"/><Relationship Id="rIdjhp2sg_tj41oof_-ts0l1" Type="http://schemas.openxmlformats.org/officeDocument/2006/relationships/hyperlink" Target="https://sports.yahoo.com/articles/much-money-did-auburn-athletics-222336441.html" TargetMode="External"/><Relationship Id="rIdvvz4iq3hu4qkaf4ybenyk" Type="http://schemas.openxmlformats.org/officeDocument/2006/relationships/hyperlink" Target="https://sports.yahoo.com/articles/ucf-athletics-revenue-expenses-grow-100226725.html" TargetMode="External"/><Relationship Id="rIdstt1ru_d-guk57vramyci" Type="http://schemas.openxmlformats.org/officeDocument/2006/relationships/hyperlink" Target="https://www.cantwell.senate.gov/imo/media/doc/spiraling_college_sports_costs_snapshot2.pdf" TargetMode="External"/><Relationship Id="rIdfqh79cmcdw5dybk696ayd" Type="http://schemas.openxmlformats.org/officeDocument/2006/relationships/hyperlink" Target="https://college-sports-finance.com/conference/sec" TargetMode="External"/><Relationship Id="rIdr8w__kv46f1mnxfpuqyjl" Type="http://schemas.openxmlformats.org/officeDocument/2006/relationships/hyperlink" Target="https://college-sports-finance.com/conference/big-ten" TargetMode="External"/><Relationship Id="rId9plpusitmsxsp7qt_rds3" Type="http://schemas.openxmlformats.org/officeDocument/2006/relationships/hyperlink" Target="https://college-sports-finance.com/conference/sec" TargetMode="External"/><Relationship Id="rIdu0fmr2lt88cqbokpbq2tb" Type="http://schemas.openxmlformats.org/officeDocument/2006/relationships/hyperlink" Target="https://news.osu.edu/ohio-state-athletics-sets-record-with-336m-in-fy25-revenue-after-national-championship-season/" TargetMode="External"/><Relationship Id="rIdxor-yhbw9kenkd8acwekk" Type="http://schemas.openxmlformats.org/officeDocument/2006/relationships/hyperlink" Target="https://ncaaorg.s3.amazonaws.com/research/Finances/2025D1RES_DI-RevExpReport_Final.pdf" TargetMode="External"/><Relationship Id="rIddhosmbdqt-ddaew--zupv" Type="http://schemas.openxmlformats.org/officeDocument/2006/relationships/hyperlink" Target="https://ncaaorg.s3.amazonaws.com/research/Finances/2025D1RES_DI-RevExpReport_Final.pdf" TargetMode="External"/><Relationship Id="rIdhekxymb7w8-n9aq_ksx-s" Type="http://schemas.openxmlformats.org/officeDocument/2006/relationships/hyperlink" Target="https://www.cbssports.com/college-football/news/big-ten-1-37-billion-in-revenue-to-its-18-members-for-2025-fiscal-year/" TargetMode="External"/><Relationship Id="rIdzxhdirup2wmu_kywsj_yl" Type="http://schemas.openxmlformats.org/officeDocument/2006/relationships/hyperlink" Target="https://www.secsports.com/news/2026/02/sec-announces-2024-25-revenue-distribution" TargetMode="External"/><Relationship Id="rId61r6slf9rold12qd1uezq" Type="http://schemas.openxmlformats.org/officeDocument/2006/relationships/hyperlink" Target="https://www.pressdemocrat.com/2026/05/25/big-12-spring-meetings-financial-reports-revenue-deficit/" TargetMode="External"/><Relationship Id="rIdr_dvg1tkanjtizybaoxf4" Type="http://schemas.openxmlformats.org/officeDocument/2006/relationships/hyperlink" Target="https://www.knightcommission.org/wp-content/uploads/KNAD_database_information_FY2025.pdf" TargetMode="External"/><Relationship Id="rIdtiz2hz13vzospn-349rj1" Type="http://schemas.openxmlformats.org/officeDocument/2006/relationships/hyperlink" Target="https://ncaaorg.s3.amazonaws.com/research/Finances/2025D1RES_DI-RevExpReport_Final.pdf" TargetMode="External"/><Relationship Id="rIdzz-h-ykzottxuz7f1rjbp" Type="http://schemas.openxmlformats.org/officeDocument/2006/relationships/hyperlink" Target="https://www.gao.gov/assets/gao-26-108640.pdf" TargetMode="External"/><Relationship Id="rId9w8_1e8lhega18kgtbdpl" Type="http://schemas.openxmlformats.org/officeDocument/2006/relationships/hyperlink" Target="https://web3.ncaa.org/directory/" TargetMode="External"/><Relationship Id="rId2tvxk1a2mcftzcxnn7fhp" Type="http://schemas.openxmlformats.org/officeDocument/2006/relationships/hyperlink" Target="https://web3.ncaa.org/directory/orgDetail?id=674" TargetMode="External"/><Relationship Id="rIdrq5md-k897m26nlmh3jp9" Type="http://schemas.openxmlformats.org/officeDocument/2006/relationships/hyperlink" Target="https://web3.ncaa.org/directory/orgDetail?id=327" TargetMode="External"/><Relationship Id="rIdt4g7jprooi40givetg79x" Type="http://schemas.openxmlformats.org/officeDocument/2006/relationships/hyperlink" Target="https://web3.ncaa.org/directory/" TargetMode="External"/><Relationship Id="rIdonmei1xom8vyl6hqmes-a" Type="http://schemas.openxmlformats.org/officeDocument/2006/relationships/hyperlink" Target="https://ope.ed.gov/athletics/#/datafile/list" TargetMode="External"/><Relationship Id="rIdv8hfpfxl4npnaklemoiya" Type="http://schemas.openxmlformats.org/officeDocument/2006/relationships/hyperlink" Target="https://web3.ncaa.org/lsdbi/reports/getReport/90008" TargetMode="External"/><Relationship Id="rIdkjxso4os5heo_ogda9mo4" Type="http://schemas.openxmlformats.org/officeDocument/2006/relationships/hyperlink" Target="https://ope.ed.gov/athletics/#/datafile/list" TargetMode="External"/><Relationship Id="rIdmgjb14jymknq7lw9ocpgt" Type="http://schemas.openxmlformats.org/officeDocument/2006/relationships/hyperlink" Target="https://www.gao.gov/assets/gao-26-108640.pdf" TargetMode="External"/><Relationship Id="rIdoskxlilgiw7-fr8sik76n" Type="http://schemas.openxmlformats.org/officeDocument/2006/relationships/hyperlink" Target="https://ncaaorg.s3.amazonaws.com/research/sportpart/2025RES_SportsSponsorshipParticipationRatesReport.pdf" TargetMode="External"/><Relationship Id="rIdhwvmvcxaml1khicfti17z" Type="http://schemas.openxmlformats.org/officeDocument/2006/relationships/hyperlink" Target="https://ncaaorg.s3.amazonaws.com/research/Finances/2017D1RES_D1RevExpReportFinal.pdf" TargetMode="External"/><Relationship Id="rIdpa65ghex9y3f29ooff1hy" Type="http://schemas.openxmlformats.org/officeDocument/2006/relationships/hyperlink" Target="https://web3.ncaa.org/lsdbi/search/proposalView?id=108635" TargetMode="External"/><Relationship Id="rIdizw158aace-wuplsxzycg" Type="http://schemas.openxmlformats.org/officeDocument/2006/relationships/hyperlink" Target="https://utahutes.com/news/2025/4/29/utah-athletics-to-discontinue-beach-volleyball-program-at-conclusion-of-academic-year" TargetMode="External"/><Relationship Id="rId1lxujavnjh8a1fmzvklek" Type="http://schemas.openxmlformats.org/officeDocument/2006/relationships/hyperlink" Target="https://cyclones.com/news/2026/4/16/athletics-iowa-state-adds-womens-wrestling-as-18th-varsity-program" TargetMode="External"/><Relationship Id="rIdpn4hrreos5qvbnbjrsiie" Type="http://schemas.openxmlformats.org/officeDocument/2006/relationships/hyperlink" Target="https://huskers.com/news/2026/01/16/nebraska-announces-addition-of-womens-flag-football" TargetMode="External"/><Relationship Id="rIdcmhk_yoeovxtryuutxao-" Type="http://schemas.openxmlformats.org/officeDocument/2006/relationships/hyperlink" Target="https://college-sports-finance.com/schools/university-of-texas-at-austin?year=2025" TargetMode="External"/><Relationship Id="rIdc48bkuczk7pt9kn9oo3wx" Type="http://schemas.openxmlformats.org/officeDocument/2006/relationships/hyperlink" Target="https://college-sports-finance.com/schools/the-ohio-state-university?year=2025" TargetMode="External"/><Relationship Id="rIdedlfy9pcxypmnhe9zxjxq" Type="http://schemas.openxmlformats.org/officeDocument/2006/relationships/hyperlink" Target="https://college-sports-finance.com/schools/university-of-tennessee-knoxville?year=2025" TargetMode="External"/><Relationship Id="rIdib9acvnf2ts3vvrtclx6s" Type="http://schemas.openxmlformats.org/officeDocument/2006/relationships/hyperlink" Target="https://college-sports-finance.com/schools/university-of-michigan?year=2025" TargetMode="External"/><Relationship Id="rIdbgfyyjajdhtrehloawvnq" Type="http://schemas.openxmlformats.org/officeDocument/2006/relationships/hyperlink" Target="https://college-sports-finance.com/schools/university-of-alabama?year=2025" TargetMode="External"/><Relationship Id="rIdoyhri-oel-wxdbiww55vg" Type="http://schemas.openxmlformats.org/officeDocument/2006/relationships/hyperlink" Target="https://college-sports-finance.com/schools/pennsylvania-state-university?year=2025" TargetMode="External"/><Relationship Id="rIdvd3r7f-tmoohdnv_9b9au" Type="http://schemas.openxmlformats.org/officeDocument/2006/relationships/hyperlink" Target="https://college-sports-finance.com/schools/texas-am-university?year=2025" TargetMode="External"/><Relationship Id="rIddsuroa1gv0dcpqephoyxh" Type="http://schemas.openxmlformats.org/officeDocument/2006/relationships/hyperlink" Target="https://college-sports-finance.com/schools/university-of-georgia?year=2025" TargetMode="External"/><Relationship Id="rId6ea4ilw5q6r1mxp9pbm1s" Type="http://schemas.openxmlformats.org/officeDocument/2006/relationships/hyperlink" Target="https://college-sports-finance.com/schools/louisiana-state-university?year=2025" TargetMode="External"/><Relationship Id="rId8q2vrj8mjgtxggk0vykic" Type="http://schemas.openxmlformats.org/officeDocument/2006/relationships/hyperlink" Target="https://sports.yahoo.com/articles/gators-basketball-got-hefty-financial-160000566.html" TargetMode="External"/><Relationship Id="rIdve2meycwqi_uvjoqg1w4l" Type="http://schemas.openxmlformats.org/officeDocument/2006/relationships/hyperlink" Target="https://college-sports-finance.com/schools/university-of-nebraska-lincoln?year=2025" TargetMode="External"/><Relationship Id="rIddx_ltt0kf3td_bxjnbioo" Type="http://schemas.openxmlformats.org/officeDocument/2006/relationships/hyperlink" Target="https://college-sports-finance.com/schools/florida-state-university?year=2025" TargetMode="External"/><Relationship Id="rIdrxq_waggr6urnfboyphmt" Type="http://schemas.openxmlformats.org/officeDocument/2006/relationships/hyperlink" Target="https://sports.yahoo.com/articles/much-money-did-auburn-athletics-222336441.html" TargetMode="External"/><Relationship Id="rIdp1kgiqvmy9j_hyftsfvr_" Type="http://schemas.openxmlformats.org/officeDocument/2006/relationships/hyperlink" Target="https://college-sports-finance.com/schools/university-of-oklahoma?year=2025" TargetMode="External"/><Relationship Id="rIduo29wkavlazwh-w8--r3w" Type="http://schemas.openxmlformats.org/officeDocument/2006/relationships/hyperlink" Target="https://college-sports-finance.com/schools/university-of-south-carolina?year=2025" TargetMode="External"/><Relationship Id="rIdsosu7zbsrpn8vpsg445pj" Type="http://schemas.openxmlformats.org/officeDocument/2006/relationships/hyperlink" Target="https://college-sports-finance.com/schools/clemson-university?year=2025" TargetMode="External"/><Relationship Id="rIdudg1h0wguaa-ifi3a0xbr" Type="http://schemas.openxmlformats.org/officeDocument/2006/relationships/hyperlink" Target="https://college-sports-finance.com/schools/university-of-wisconsin-madison?year=2025" TargetMode="External"/><Relationship Id="rIdjx01bbrqowt1mcunp3act" Type="http://schemas.openxmlformats.org/officeDocument/2006/relationships/hyperlink" Target="https://college-sports-finance.com/schools/university-of-arkansas-fayetteville?year=2025" TargetMode="External"/><Relationship Id="rIdvsfuisjd1nqxhrcdlnrwg" Type="http://schemas.openxmlformats.org/officeDocument/2006/relationships/hyperlink" Target="https://college-sports-finance.com/schools/university-of-illinois-urbana-champaign?year=2025" TargetMode="External"/><Relationship Id="rId_dj3thkvjahk_qkzu7f4q" Type="http://schemas.openxmlformats.org/officeDocument/2006/relationships/hyperlink" Target="https://college-sports-finance.com/schools/university-of-oregon?year=2025" TargetMode="External"/><Relationship Id="rIdflbacxwoebr9wpfzhp3zt" Type="http://schemas.openxmlformats.org/officeDocument/2006/relationships/hyperlink" Target="https://college-sports-finance.com/schools/university-of-kentucky?year=2025" TargetMode="External"/><Relationship Id="rIdsdx8nuvblnqkg4djb4vwe" Type="http://schemas.openxmlformats.org/officeDocument/2006/relationships/hyperlink" Target="https://npr.brightspotcdn.com/f8/cd/6f6273e141998c6ff6b63178b250/2025-ncaa-frs-report.pdf" TargetMode="External"/><Relationship Id="rId9jax_y3h3vxh7jstm4-5l" Type="http://schemas.openxmlformats.org/officeDocument/2006/relationships/hyperlink" Target="https://college-sports-finance.com/schools/university-of-missouri-columbia?year=2025" TargetMode="External"/><Relationship Id="rIdrmpc4de2gsabxshd9c33i" Type="http://schemas.openxmlformats.org/officeDocument/2006/relationships/hyperlink" Target="https://college-sports-finance.com/schools/university-of-iowa?year=2025" TargetMode="External"/><Relationship Id="rIdb21pdye314odqapgo9l4p" Type="http://schemas.openxmlformats.org/officeDocument/2006/relationships/hyperlink" Target="https://college-sports-finance.com/schools/michigan-state-university?year=2025" TargetMode="External"/><Relationship Id="rIdvcbrokuj_saunoy2fjjui" Type="http://schemas.openxmlformats.org/officeDocument/2006/relationships/hyperlink" Target="https://college-sports-finance.com/schools/university-of-mississippi-ole-miss?year=2025" TargetMode="External"/><Relationship Id="rIdi_rax0nwre1wzhgayqw2j" Type="http://schemas.openxmlformats.org/officeDocument/2006/relationships/hyperlink" Target="https://college-sports-finance.com/schools/university-of-washington?year=2025" TargetMode="External"/><Relationship Id="rIdh02koxsaac6g7g5hw8-cd" Type="http://schemas.openxmlformats.org/officeDocument/2006/relationships/hyperlink" Target="https://college-sports-finance.com/schools/university-of-north-carolina-chapel-hill?year=2025" TargetMode="External"/><Relationship Id="rIdl_qyo5rnskwezfaf7ai99" Type="http://schemas.openxmlformats.org/officeDocument/2006/relationships/hyperlink" Target="https://college-sports-finance.com/schools/arizona-state-university?year=2025" TargetMode="External"/><Relationship Id="rIdiisvlvrlum2jodj9nyfyg" Type="http://schemas.openxmlformats.org/officeDocument/2006/relationships/hyperlink" Target="https://college-sports-finance.com/schools/mississippi-state-university?year=2025" TargetMode="External"/><Relationship Id="rIdklsgpam2ncmfspdvd8ckh" Type="http://schemas.openxmlformats.org/officeDocument/2006/relationships/hyperlink" Target="https://college-sports-finance.com/schools/university-of-minnesota?year=2025" TargetMode="External"/><Relationship Id="rIdwc14hawo5mdj9chislgls" Type="http://schemas.openxmlformats.org/officeDocument/2006/relationships/hyperlink" Target="https://college-sports-finance.com/schools/university-of-colorado-boulder?year=2025" TargetMode="External"/><Relationship Id="rIdy_lxwnln8vapz4fqznibu" Type="http://schemas.openxmlformats.org/officeDocument/2006/relationships/hyperlink" Target="https://college-sports-finance.com/schools/virginia-polytechnic-institute-and-state-university?year=2025" TargetMode="External"/><Relationship Id="rIdgfk7z3eeawvhwq20tn3u2" Type="http://schemas.openxmlformats.org/officeDocument/2006/relationships/hyperlink" Target="https://college-sports-finance.com/schools/university-of-virginia?year=2025" TargetMode="External"/><Relationship Id="rIdtteiive1vh4mhskkwlkmz" Type="http://schemas.openxmlformats.org/officeDocument/2006/relationships/hyperlink" Target="https://college-sports-finance.com/schools/university-of-california-los-angeles?year=2025" TargetMode="External"/><Relationship Id="rIdjuhnowx_krijknx6ykebo" Type="http://schemas.openxmlformats.org/officeDocument/2006/relationships/hyperlink" Target="https://college-sports-finance.com/schools/oklahoma-state-university?year=2025" TargetMode="External"/><Relationship Id="rIdh13d33ff3voppghk66obc" Type="http://schemas.openxmlformats.org/officeDocument/2006/relationships/hyperlink" Target="https://college-sports-finance.com/schools/purdue-university?year=2025" TargetMode="External"/><Relationship Id="rIdzuvycaf4bwenae_dlee4v" Type="http://schemas.openxmlformats.org/officeDocument/2006/relationships/hyperlink" Target="https://college-sports-finance.com/schools/cal?year=2025" TargetMode="External"/><Relationship Id="rId_2iddendgvfzavprcyear" Type="http://schemas.openxmlformats.org/officeDocument/2006/relationships/hyperlink" Target="https://college-sports-finance.com/schools/university-of-louisville?year=2025" TargetMode="External"/><Relationship Id="rIdh0g4ay-vph-fsex6boese" Type="http://schemas.openxmlformats.org/officeDocument/2006/relationships/hyperlink" Target="https://www.nj.com/rutgers/2026/01/rutgers-athletics-deficit-hit-record-78-million-in-2024-25-new-ad-says-its-got-to-get-better.html" TargetMode="External"/><Relationship Id="rIddxmwj5pcralywfiuo3a0p" Type="http://schemas.openxmlformats.org/officeDocument/2006/relationships/hyperlink" Target="https://college-sports-finance.com/schools/texas-tech-university?year=2025" TargetMode="External"/><Relationship Id="rIdri_njjacgfv8rpycwlzbj" Type="http://schemas.openxmlformats.org/officeDocument/2006/relationships/hyperlink" Target="https://college-sports-finance.com/schools/university-of-kansas?year=2025" TargetMode="External"/><Relationship Id="rIdxbgr_wogwglfa_1qln0en" Type="http://schemas.openxmlformats.org/officeDocument/2006/relationships/hyperlink" Target="https://college-sports-finance.com/schools/university-of-arizona?year=2025" TargetMode="External"/><Relationship Id="rIdlx_r6ucowedzyny-l01c9" Type="http://schemas.openxmlformats.org/officeDocument/2006/relationships/hyperlink" Target="https://college-sports-finance.com/schools/north-carolina-state-university?year=2025" TargetMode="External"/><Relationship Id="rId7z18a6p0dffbm093vusob" Type="http://schemas.openxmlformats.org/officeDocument/2006/relationships/hyperlink" Target="https://college-sports-finance.com/schools/university-of-utah?year=2025" TargetMode="External"/><Relationship Id="rIdvjhgrw09wrbdbeyu2i1ej" Type="http://schemas.openxmlformats.org/officeDocument/2006/relationships/hyperlink" Target="https://college-sports-finance.com/schools/west-virginia-university?year=2025" TargetMode="External"/><Relationship Id="rIdnznni6olcjbhqchqwbmac" Type="http://schemas.openxmlformats.org/officeDocument/2006/relationships/hyperlink" Target="https://college-sports-finance.com/schools/university-of-maryland-college-park?year=2025" TargetMode="External"/><Relationship Id="rIdxb1o8ps3o-kv-im1vqlis" Type="http://schemas.openxmlformats.org/officeDocument/2006/relationships/hyperlink" Target="https://college-sports-finance.com/schools/university-of-cincinnati?year=2025" TargetMode="External"/><Relationship Id="rIdm6to70rg9aoxolnhlcpdp" Type="http://schemas.openxmlformats.org/officeDocument/2006/relationships/hyperlink" Target="https://college-sports-finance.com/schools/iowa-state-university?year=2025" TargetMode="External"/><Relationship Id="rIduu8lttombdthhvl019sqf" Type="http://schemas.openxmlformats.org/officeDocument/2006/relationships/hyperlink" Target="https://college-sports-finance.com/schools/kansas-state-university?year=2025" TargetMode="External"/><Relationship Id="rIdlzpofriicpliee6ym-mqh" Type="http://schemas.openxmlformats.org/officeDocument/2006/relationships/hyperlink" Target="https://college-sports-finance.com/schools/university-of-central-florida?year=2025" TargetMode="External"/><Relationship Id="rId5z5wwlbgy6xrpksf5y6jp" Type="http://schemas.openxmlformats.org/officeDocument/2006/relationships/hyperlink" Target="https://college-sports-finance.com/schools/university-of-houston?year=2025" TargetMode="External"/><Relationship Id="rId1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2026-10-27T14:37:30.570Z</dcterms:created>
  <dcterms:modified xsi:type="dcterms:W3CDTF">2026-10-27T14:37:30.570Z</dcterms:modified>
</cp:coreProperties>
</file>

<file path=docProps/custom.xml><?xml version="1.0" encoding="utf-8"?>
<Properties xmlns="http://schemas.openxmlformats.org/officeDocument/2006/custom-properties" xmlns:vt="http://schemas.openxmlformats.org/officeDocument/2006/docPropsVTypes"/>
</file>